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D95CD">
      <w:pPr>
        <w:spacing w:line="600" w:lineRule="exact"/>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附件一：</w:t>
      </w:r>
    </w:p>
    <w:p w14:paraId="786D6676">
      <w:pPr>
        <w:pStyle w:val="6"/>
        <w:widowControl w:val="0"/>
        <w:numPr>
          <w:ilvl w:val="0"/>
          <w:numId w:val="0"/>
        </w:numPr>
        <w:jc w:val="both"/>
        <w:rPr>
          <w:rFonts w:hint="default"/>
          <w:color w:val="auto"/>
          <w:highlight w:val="none"/>
          <w:lang w:val="en-US" w:eastAsia="zh-CN"/>
        </w:rPr>
      </w:pPr>
      <w:r>
        <w:rPr>
          <w:rFonts w:hint="eastAsia"/>
          <w:color w:val="auto"/>
          <w:highlight w:val="none"/>
          <w:lang w:val="en-US" w:eastAsia="zh-CN"/>
        </w:rPr>
        <w:t>检验：</w:t>
      </w:r>
    </w:p>
    <w:tbl>
      <w:tblPr>
        <w:tblStyle w:val="12"/>
        <w:tblW w:w="82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9"/>
        <w:gridCol w:w="1145"/>
        <w:gridCol w:w="948"/>
        <w:gridCol w:w="1393"/>
        <w:gridCol w:w="923"/>
        <w:gridCol w:w="1115"/>
        <w:gridCol w:w="1342"/>
        <w:gridCol w:w="774"/>
      </w:tblGrid>
      <w:tr w14:paraId="3CA52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C7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0B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检测项目</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62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检测方法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4C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采样及运输需求</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47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报告时间</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B2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临床意义</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B0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收费代码</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F7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收费标准</w:t>
            </w:r>
          </w:p>
        </w:tc>
      </w:tr>
      <w:tr w14:paraId="6C5D8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2B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C6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24小时尿钾</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6A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离子选择电极法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B8C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5ml尿液,全程冷链避光运输至实验室。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1A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01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了解电解质代谢</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3F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250304001</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06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r>
      <w:tr w14:paraId="04350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nil"/>
              <w:left w:val="single" w:color="000000" w:sz="4" w:space="0"/>
              <w:bottom w:val="single" w:color="000000" w:sz="4" w:space="0"/>
              <w:right w:val="single" w:color="000000" w:sz="4" w:space="0"/>
            </w:tcBorders>
            <w:shd w:val="clear" w:color="auto" w:fill="auto"/>
            <w:vAlign w:val="center"/>
          </w:tcPr>
          <w:p w14:paraId="4E2F4C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145" w:type="dxa"/>
            <w:tcBorders>
              <w:top w:val="nil"/>
              <w:left w:val="single" w:color="000000" w:sz="4" w:space="0"/>
              <w:bottom w:val="single" w:color="000000" w:sz="4" w:space="0"/>
              <w:right w:val="single" w:color="000000" w:sz="4" w:space="0"/>
            </w:tcBorders>
            <w:shd w:val="clear" w:color="auto" w:fill="auto"/>
            <w:vAlign w:val="center"/>
          </w:tcPr>
          <w:p w14:paraId="22F7A7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24小时尿钠</w:t>
            </w:r>
          </w:p>
        </w:tc>
        <w:tc>
          <w:tcPr>
            <w:tcW w:w="948" w:type="dxa"/>
            <w:tcBorders>
              <w:top w:val="nil"/>
              <w:left w:val="single" w:color="000000" w:sz="4" w:space="0"/>
              <w:bottom w:val="single" w:color="000000" w:sz="4" w:space="0"/>
              <w:right w:val="single" w:color="000000" w:sz="4" w:space="0"/>
            </w:tcBorders>
            <w:shd w:val="clear" w:color="auto" w:fill="auto"/>
            <w:vAlign w:val="center"/>
          </w:tcPr>
          <w:p w14:paraId="359453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离子选择电极法</w:t>
            </w:r>
          </w:p>
        </w:tc>
        <w:tc>
          <w:tcPr>
            <w:tcW w:w="1393" w:type="dxa"/>
            <w:tcBorders>
              <w:top w:val="nil"/>
              <w:left w:val="single" w:color="000000" w:sz="4" w:space="0"/>
              <w:bottom w:val="single" w:color="000000" w:sz="4" w:space="0"/>
              <w:right w:val="single" w:color="000000" w:sz="4" w:space="0"/>
            </w:tcBorders>
            <w:shd w:val="clear" w:color="auto" w:fill="auto"/>
            <w:vAlign w:val="center"/>
          </w:tcPr>
          <w:p w14:paraId="058D6B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5ml尿液,全程冷链避光运输至实验室。</w:t>
            </w:r>
          </w:p>
        </w:tc>
        <w:tc>
          <w:tcPr>
            <w:tcW w:w="923" w:type="dxa"/>
            <w:tcBorders>
              <w:top w:val="nil"/>
              <w:left w:val="single" w:color="000000" w:sz="4" w:space="0"/>
              <w:bottom w:val="single" w:color="000000" w:sz="4" w:space="0"/>
              <w:right w:val="single" w:color="000000" w:sz="4" w:space="0"/>
            </w:tcBorders>
            <w:shd w:val="clear" w:color="auto" w:fill="auto"/>
            <w:vAlign w:val="center"/>
          </w:tcPr>
          <w:p w14:paraId="63CC22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nil"/>
              <w:left w:val="single" w:color="000000" w:sz="4" w:space="0"/>
              <w:bottom w:val="single" w:color="000000" w:sz="4" w:space="0"/>
              <w:right w:val="single" w:color="000000" w:sz="4" w:space="0"/>
            </w:tcBorders>
            <w:shd w:val="clear" w:color="auto" w:fill="auto"/>
            <w:vAlign w:val="center"/>
          </w:tcPr>
          <w:p w14:paraId="18CA77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了解电解质代谢</w:t>
            </w:r>
          </w:p>
        </w:tc>
        <w:tc>
          <w:tcPr>
            <w:tcW w:w="1342" w:type="dxa"/>
            <w:tcBorders>
              <w:top w:val="nil"/>
              <w:left w:val="single" w:color="000000" w:sz="4" w:space="0"/>
              <w:bottom w:val="single" w:color="000000" w:sz="4" w:space="0"/>
              <w:right w:val="single" w:color="000000" w:sz="4" w:space="0"/>
            </w:tcBorders>
            <w:shd w:val="clear" w:color="auto" w:fill="auto"/>
            <w:vAlign w:val="center"/>
          </w:tcPr>
          <w:p w14:paraId="07A1CE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250304002</w:t>
            </w:r>
          </w:p>
        </w:tc>
        <w:tc>
          <w:tcPr>
            <w:tcW w:w="774" w:type="dxa"/>
            <w:tcBorders>
              <w:top w:val="nil"/>
              <w:left w:val="single" w:color="000000" w:sz="4" w:space="0"/>
              <w:bottom w:val="single" w:color="000000" w:sz="4" w:space="0"/>
              <w:right w:val="single" w:color="000000" w:sz="4" w:space="0"/>
            </w:tcBorders>
            <w:shd w:val="clear" w:color="auto" w:fill="auto"/>
            <w:vAlign w:val="center"/>
          </w:tcPr>
          <w:p w14:paraId="15103B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r>
      <w:tr w14:paraId="5B136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A7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4E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尿β2微球蛋白</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6E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D6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5ml尿液,全程冷链避光运输至实验室。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98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DE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了解肾小管的功能</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D1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250307009-a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BB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r>
      <w:tr w14:paraId="413D6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EB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C9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尿N-酰-β-D-氨基葡萄糖苷酶测定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E8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A3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5ml尿液,全程冷链避光运输至实验室。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14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1DD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了解肾小管的损伤情况</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782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250307011</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50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3544C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D7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E6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铜蓝蛋白</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7C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散射比浊法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89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19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AA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属急性时相反应蛋白,协助诊断肝豆状核变性(Wilson病)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FF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250401028</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84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r>
      <w:tr w14:paraId="0FD59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AEE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5E3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贫血四项（铁蛋白、转铁蛋白、维生素B12、叶酸）</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A20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0E75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430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9CF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用于贫血诊断、肿瘤辅助诊断</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36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250301007</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F9D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155</w:t>
            </w:r>
          </w:p>
        </w:tc>
      </w:tr>
      <w:tr w14:paraId="6866E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62AE2">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9D3E0">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1FABD">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78B23">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64C60">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9C59A">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9B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250309003-a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8BDD7">
            <w:pPr>
              <w:jc w:val="center"/>
              <w:rPr>
                <w:rFonts w:hint="eastAsia" w:ascii="仿宋" w:hAnsi="仿宋" w:eastAsia="仿宋" w:cs="仿宋"/>
                <w:i w:val="0"/>
                <w:iCs w:val="0"/>
                <w:color w:val="000000"/>
                <w:sz w:val="20"/>
                <w:szCs w:val="20"/>
                <w:u w:val="none"/>
              </w:rPr>
            </w:pPr>
          </w:p>
        </w:tc>
      </w:tr>
      <w:tr w14:paraId="7C359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F6CB7">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F5F13">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416F8">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D732A">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C081A">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74530">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28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250309004</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105E6">
            <w:pPr>
              <w:jc w:val="center"/>
              <w:rPr>
                <w:rFonts w:hint="eastAsia" w:ascii="仿宋" w:hAnsi="仿宋" w:eastAsia="仿宋" w:cs="仿宋"/>
                <w:i w:val="0"/>
                <w:iCs w:val="0"/>
                <w:color w:val="000000"/>
                <w:sz w:val="20"/>
                <w:szCs w:val="20"/>
                <w:u w:val="none"/>
              </w:rPr>
            </w:pPr>
          </w:p>
        </w:tc>
      </w:tr>
      <w:tr w14:paraId="3085B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64D1D">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9C91B">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3F5B1">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BEE58">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5CE1F">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2D3E5">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7C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250309004</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77A9F">
            <w:pPr>
              <w:jc w:val="center"/>
              <w:rPr>
                <w:rFonts w:hint="eastAsia" w:ascii="仿宋" w:hAnsi="仿宋" w:eastAsia="仿宋" w:cs="仿宋"/>
                <w:i w:val="0"/>
                <w:iCs w:val="0"/>
                <w:color w:val="000000"/>
                <w:sz w:val="20"/>
                <w:szCs w:val="20"/>
                <w:u w:val="none"/>
              </w:rPr>
            </w:pPr>
          </w:p>
        </w:tc>
      </w:tr>
      <w:tr w14:paraId="223CB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A3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81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血清转铁蛋白测定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4E9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FF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A0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18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肾小球损伤的指标，可用于早期发现糖尿病肾病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88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250301007</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12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r w14:paraId="3085E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73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42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尿转铁蛋白测定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FB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4EE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5ml尿液,全程冷链避光运输至实验室。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58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E1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是早期肾小球损伤的指标之一，主要反映肾小球滤过膜电荷选择屏障受损</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56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250307007-a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9C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r w14:paraId="285B7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E625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5EF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血铁+总铁结合力+铁饱和度</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F10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F0A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4A39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53F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辅助诊断溶贫、缺铁贫、巨铁贫、巨贫、肝脏受损等</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79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250304007</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2D5D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r>
      <w:tr w14:paraId="35C40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C56DB">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0F9B2">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7355D">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CDD3A">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B549B">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4C667">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33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250304008</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39AB6">
            <w:pPr>
              <w:jc w:val="center"/>
              <w:rPr>
                <w:rFonts w:hint="eastAsia" w:ascii="仿宋" w:hAnsi="仿宋" w:eastAsia="仿宋" w:cs="仿宋"/>
                <w:i w:val="0"/>
                <w:iCs w:val="0"/>
                <w:color w:val="000000"/>
                <w:sz w:val="20"/>
                <w:szCs w:val="20"/>
                <w:u w:val="none"/>
              </w:rPr>
            </w:pPr>
          </w:p>
        </w:tc>
      </w:tr>
      <w:tr w14:paraId="32303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06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13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血儿茶酚胺</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70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色谱法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F7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F4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8E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辅助诊断嗜铬细胞瘤/副神经节瘤</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94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250310024-a*3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22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180</w:t>
            </w:r>
          </w:p>
        </w:tc>
      </w:tr>
      <w:tr w14:paraId="42AAA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40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D1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尿儿茶酚胺</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1A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色谱法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B0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10ml尿液,全程冷链避光运输至实验室。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D3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EA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辅助诊断嗜铬细胞瘤/副神经节瘤</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D3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250310024-a*3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10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180</w:t>
            </w:r>
          </w:p>
        </w:tc>
      </w:tr>
      <w:tr w14:paraId="231F2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DD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AD8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血轻链κ/λ测定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C3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免疫比浊法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2D1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3F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61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用于多发性骨髓瘤等疾病的诊断、随访监测</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A2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250401027</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77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r>
      <w:tr w14:paraId="498B1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1A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1A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尿轻链κ/λ测定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F6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免疫比浊法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92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85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5C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用于多发性骨髓瘤等疾病的诊断、随访监测</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30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250401027</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A5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r>
      <w:tr w14:paraId="4CA89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B9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E8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血清蛋白电泳</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B5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电泳法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5D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A5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EC1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对于肝、肾疾病和多发性骨髓瘤的诊断有意义</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9F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250301004</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33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14:paraId="3BA24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F2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6D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尿蛋白电泳分析</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A4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凝胶电泳法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80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10ml尿液,全程冷链避光运输至实验室。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68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4E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了解肾小球、肾小管的损伤情况</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88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250307010-a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BE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14:paraId="76606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E5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9E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总IgE测定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E6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C6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74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F0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辅助诊断过敏性疾病和免疫系统疾病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E1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250405001-a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C9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14:paraId="42C07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42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28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EB病毒DNA核酸测定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F2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荧光PCR定量检测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B0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EDTA抗凝全血2ml,全程冷链避光运输至实验室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33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9C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辅助判断EB病毒感染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EA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E2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14:paraId="4F215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E88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91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EB病毒EBV-VCA-IgG抗体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04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7F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673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A1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辅助判断EB病毒既往感染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70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250403025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E8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r w14:paraId="35FF2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BB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68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EB病毒EBV-VCA-IgM抗体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D2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8C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57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83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辅助判断EB病毒急性感染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4B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250403025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14C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r w14:paraId="06D10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FA0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9D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EB病毒VCA-IgA抗体检测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874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B9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EB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82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辅助判断EB病毒感染引起的相关疾病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49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250403025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8C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r w14:paraId="1E447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D46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200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梅毒抗体复查（TPPA+RPR)</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1756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凝集法（报告滴度）</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EE8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76C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A29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6D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250403053</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724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r>
      <w:tr w14:paraId="0F8AB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B1FA4">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188A2">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6D557">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DC395">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5EBF6">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21749">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BA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250403054-a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ECA0E">
            <w:pPr>
              <w:jc w:val="center"/>
              <w:rPr>
                <w:rFonts w:hint="eastAsia" w:ascii="仿宋" w:hAnsi="仿宋" w:eastAsia="仿宋" w:cs="仿宋"/>
                <w:i w:val="0"/>
                <w:iCs w:val="0"/>
                <w:color w:val="000000"/>
                <w:sz w:val="20"/>
                <w:szCs w:val="20"/>
                <w:u w:val="none"/>
              </w:rPr>
            </w:pPr>
          </w:p>
        </w:tc>
      </w:tr>
      <w:tr w14:paraId="48557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8B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9C4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梅毒螺旋体DNA测定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45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PCR定性检测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06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采集分泌物,全程冷链避光运输至实验室。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8B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A7B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为梅毒感染的诊断提供分子生物学参考依据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B3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23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4DF11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65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38D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沙眼衣原体(CT)DNA测定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70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荧光PCR定量检测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BC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采集分泌物,全程冷链避光运输至实验室。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4F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DA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为沙眼衣原体感染的诊断提供分子生物学参考依据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35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16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14:paraId="7007F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C6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5E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淋病奈瑟菌(NG)DNA测定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34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荧光PCR定量检测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F84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采集分泌物,全程冷链避光运输至实验室。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50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43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为淋球菌感染的诊断提供分子生物学参考依据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48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DF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14:paraId="7E4AA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84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C4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解脲脲原体(UU)DNA测定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7D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荧光PCR定量检测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FA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采集分泌物,全程冷链避光运输至实验室。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9C8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D9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为解脲脲愿体感染的诊断提供分子生物学参考依据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F3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89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14:paraId="52B9E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20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39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生殖支原体(MG)RNA测定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250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荧光PCR定量检测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66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采集分泌物,全程冷链避光运输至实验室。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5C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64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为生殖支愿体感染的诊断提供分子生物学参考依据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D0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250403088</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E5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185</w:t>
            </w:r>
          </w:p>
        </w:tc>
      </w:tr>
      <w:tr w14:paraId="21E4F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60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34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肥达氏反应</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293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凝集法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22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99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68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伤寒、副伤寒的辅助诊断指标</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1B1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250403038</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2D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r>
      <w:tr w14:paraId="3518B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50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45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外斐氏反应</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005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凝集法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DE2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AE4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6C8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辅助诊断由立克次体引起的斑疹伤寒、恙虫病等</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EE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250403039</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F6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187</w:t>
            </w:r>
          </w:p>
        </w:tc>
      </w:tr>
      <w:tr w14:paraId="7AC25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01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A3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甲肝IgM/IgG抗体两项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7A6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酶联免疫法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85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14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A8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辅助诊断甲型肝炎病毒感染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B7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250403001-a*2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84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r w14:paraId="23691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80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F1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乙肝两对半定性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55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酶联免疫法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7F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878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D4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辅助诊断乙型肝炎病毒感染情况</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5C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250900003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283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r>
      <w:tr w14:paraId="07626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034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23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乙型肝炎病毒（HBV-DNA）核酸定量测定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D8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荧光PCR定量检测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46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54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E3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为乙型肝炎病毒感染的诊断提供分子生物学参考依据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D4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250403003-a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39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450</w:t>
            </w:r>
          </w:p>
        </w:tc>
      </w:tr>
      <w:tr w14:paraId="7E9F4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5F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8B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乙肝DNA测定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80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PCR定性检测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3B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CF0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634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为乙型肝炎病毒感染的诊断提供分子生物学参考依据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86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250403003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E6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r>
      <w:tr w14:paraId="42F2D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87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B5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丙型肝炎RNA测定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08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PCR定性检测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25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A34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7C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为丙型肝炎病毒感染的诊断提供分子生物学参考依据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90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250403013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30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w:t>
            </w:r>
          </w:p>
        </w:tc>
      </w:tr>
      <w:tr w14:paraId="33686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E9E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29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丁肝IgM/IgG抗体两项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10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酶联免疫法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B7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EC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D3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辅助诊断丁型肝炎病毒感染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35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250403015*2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64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r>
      <w:tr w14:paraId="09D28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94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17D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戊肝IgM/IgG抗体两项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CE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酶联免疫法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FA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15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B4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辅助诊断戊型肝炎病毒感染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8C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250403017*2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41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r>
      <w:tr w14:paraId="3E260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A1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74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庚肝IgM/IgG抗体两项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6C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酶联免疫法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D2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32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B4F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辅助诊断庚型肝炎病毒感染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D5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25040301892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43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5EA03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4E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96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结核分枝杆菌DNA测定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EF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荧光PCR定量检测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BA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痰液、肺泡灌洗液、脑脊液、胸腹水，约3-5ml,全程冷链避光运输至实验室。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67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AE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为结核杆菌感染的诊断提供分子生物学参考依据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C5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3A7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14:paraId="71FE9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C6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C9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结核杆菌抗体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8A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胶体金法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D5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03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76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用于结核分枝杆菌既往感染的辅助诊断</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8D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250403042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8EF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r>
      <w:tr w14:paraId="53BF6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03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70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结核感染T细胞斑点试验</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36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8D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肝素抗凝全血5ml,全程冷链避光运输至实验室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D8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9C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辅助诊断结核杆菌感染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AA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250402060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14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w:t>
            </w:r>
          </w:p>
        </w:tc>
      </w:tr>
      <w:tr w14:paraId="7EE45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31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A2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解脲支原体(UU-DNA)测定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63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PCR定性检测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C0A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采集分泌物,全程冷链避光运输至实验室。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30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2E8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为解脲支愿体感染的诊断提供分子生物学参考依据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AF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A9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71991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DB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11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曲霉菌抗原</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0F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酶联免疫法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90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B0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EE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辅助诊断曲霉菌感染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4D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250403087</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2C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190</w:t>
            </w:r>
          </w:p>
        </w:tc>
      </w:tr>
      <w:tr w14:paraId="5B7C3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64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D3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隐球菌抗原检测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94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胶体金法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6F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血清、脑脊液1mL;胸腹水2-3ml,全程冷链避光运输至实验室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94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D8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辅助临床诊断隐球菌感染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7B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250403060-a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63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123</w:t>
            </w:r>
          </w:p>
        </w:tc>
      </w:tr>
      <w:tr w14:paraId="2A1AC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33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DA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布鲁菌IgM/IgG抗体检测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F8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胶体金法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6B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84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03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辅助临床诊断布鲁菌感染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0A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250403042*2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84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67440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3D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B41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登革热IgM/IgG抗体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FF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胶体金法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84A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06C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83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辅助诊断登革热病毒感染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26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250403035*2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9D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658BE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62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E0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流行性出血热抗体两项(IgM/lgG)</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F8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胶体金法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CD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C8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2F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辅助诊断流行性出血热感染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BD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250403033*2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2D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r>
      <w:tr w14:paraId="72334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08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34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腺病毒IgM/IgG抗体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71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胶体金法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B8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BD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51A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辅助诊断腺病毒感染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04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250403031*2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8B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r>
      <w:tr w14:paraId="507DC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93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D4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柯萨奇病毒IgM/IgG抗体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4A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B8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07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5E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辅助诊断柯萨奇病毒感染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8C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250403035*2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C4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538B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73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AC3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呼吸道合胞病毒IgM/IgG抗体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25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E0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81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40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辅助诊断呼吸道合胞病毒感染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6BD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250403026*2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89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14:paraId="0832D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24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99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肺炎衣原体IgM/IgG抗体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CB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6B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2D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51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辅助诊断衣原体肺炎感染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A1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250403051*2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B4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14:paraId="47842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88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2D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肺炎支原体IgM/IgG抗体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39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14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D4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BC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辅助诊断肺炎支原体感染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B2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250403083*2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49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14:paraId="3727F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78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E7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肺炎支原体MP-DNA核酸检测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F9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荧光PCR定量检测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33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咽拭子；痰液≥2ml；支气管灌洗液≥5ml,全程冷链避光运输至实验室。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A8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55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为肺炎支原体感染的诊断提供分子生物学参考依据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A0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71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14:paraId="0A9BE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27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90E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麻疹病毒IgM/IgG抗体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01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ABF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A5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0B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辅诊断麻疹病毒感染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25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250403035*2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D38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21BCE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41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1F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腮腺炎病毒IgM/IgG抗体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3A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06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0D1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9C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辅助诊断流行性腮腺炎病毒感染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5B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250403035*2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8C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50709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CE5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B7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水痘-带状疱疹病毒IgM抗体(VZV-IgM)</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6D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92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9D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4D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辅助诊断带状疱疹病毒感染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53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250403030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AC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r w14:paraId="2E640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720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83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水痘-带状疱疹病毒IgG抗体(VZV-lgG)</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06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A9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2B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88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辅助诊断带状疱疹病毒感染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46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250403030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54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r w14:paraId="16DE6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1E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AD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水痘-带状疱疹病毒核酸测定(VZV-DNA)</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AC2D">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PCR定性检测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F0F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全血2ml,脑脊液1ml,全程冷链避光运输至实验室。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2F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E0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辅助诊断带状疱疹病毒感染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6B3F">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250403065</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75C8">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50</w:t>
            </w:r>
          </w:p>
        </w:tc>
      </w:tr>
      <w:tr w14:paraId="0C6A6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92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83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军团菌抗原</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70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10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尿液2-3ml,全程冷链避光运输至实验室。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E8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65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辅助判断嗜肺军团菌感染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C4E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250403083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A6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r>
      <w:tr w14:paraId="7AF61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EC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F9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军团杆菌抗体测定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B42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37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4B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0B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辅助判断嗜肺军团菌感染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5F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250403042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2B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r>
      <w:tr w14:paraId="38CF6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CB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5E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嗜肺军团菌(LP)DNA测定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E5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荧光PCR定量检测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AF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痰液、支气管灌洗液5m,全程冷链避光运输至实验室。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F1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6E4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为嗜肺军团菌感染的诊断提供分子生物学参考依据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2B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1C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14:paraId="6E83E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76D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95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百日咳杆菌IgM/IgG抗体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F2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8A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70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2F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辅助判断百日咳感染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ED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250403042*2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3E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596E8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F6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0E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百日咳杆菌核酸检测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5D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荧光PCR定量检测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F1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咽拭子；痰液≥2ml；支气管灌洗液≥5ml,全程冷链避光运输至实验室。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21B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98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辅助判断百日咳感染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0F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848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14:paraId="73537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EB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FA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肺炎链球菌抗原</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D0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胶体金法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F1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尿液2ml,脑脊液1ml,全程冷链避光运输至实验室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3D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A36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辅助诊断肺炎链球菌感染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AC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250403085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75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119</w:t>
            </w:r>
          </w:p>
        </w:tc>
      </w:tr>
      <w:tr w14:paraId="3169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5D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38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轮状病毒抗原检测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A5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胶体金法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31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粪便样本≥1ml或≥1g,全程冷链避光运输至实验室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68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6A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辅助诊断轮状病毒感染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52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250501035-a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B1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r>
      <w:tr w14:paraId="30CD3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2A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C2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轮状病毒核酸检测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59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52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粪便样本3-5ml,全程冷链避光运输至实验室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3C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7C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为轮状病毒感染的诊断提供分子生物学参考依据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E9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250403088</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36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185</w:t>
            </w:r>
          </w:p>
        </w:tc>
      </w:tr>
      <w:tr w14:paraId="3CA33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7A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18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诺如病毒核酸检测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B1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8C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肛拭子,全程冷链避光运输至实验室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68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D4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为诺如病毒感染的诊断提供分子生物学参考依据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0D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250403088</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CF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185</w:t>
            </w:r>
          </w:p>
        </w:tc>
      </w:tr>
      <w:tr w14:paraId="1F36A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60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09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诺如病毒抗原检测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5D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5B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粪便样本≥1ml或≥1g,全程冷链避光运输至实验室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D1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EC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辅助诊断诺如病毒感染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06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250403035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A2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r>
      <w:tr w14:paraId="7D0A0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76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47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抗核抗体测定(ANA)</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D6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13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C4E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B8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33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250402002-a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52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r>
      <w:tr w14:paraId="198C9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37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B3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ENA七项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5F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3A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C3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F5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E6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250402003*7</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94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w:t>
            </w:r>
          </w:p>
        </w:tc>
      </w:tr>
      <w:tr w14:paraId="28F56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96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23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ANCA四项（C-ANCA、P-ANCA、PR3-ANCA、MPO-ANCA）</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04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25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F83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60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C6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250402005*4</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2B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r>
      <w:tr w14:paraId="3A696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7E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BC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抗角蛋白抗体(AKA)测定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6D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57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40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02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52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250402038</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C80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w:t>
            </w:r>
          </w:p>
        </w:tc>
      </w:tr>
      <w:tr w14:paraId="6F380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28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60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抗单链DNA测定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37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FF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50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F0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9D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250402004</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FE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r>
      <w:tr w14:paraId="7F658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245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39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抗双链DNA测定（抗dsDNA)</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2D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EE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4A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02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B7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250402006-d</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10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r>
      <w:tr w14:paraId="5127B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6E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8B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抗突变型瓜氨酸波形蛋白抗体测定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29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酶联免疫法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F0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5D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0B8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5F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250402058</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C9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14:paraId="32615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375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74</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C5C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抗核抗体全套</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EDA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ED1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8BD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643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D7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250402002-a</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1B8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548</w:t>
            </w:r>
          </w:p>
        </w:tc>
      </w:tr>
      <w:tr w14:paraId="6AE9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CF330">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CCA8F">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E7021">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B6755">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8AC5A">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131F3">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FE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250402006-b</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C1F4C">
            <w:pPr>
              <w:jc w:val="center"/>
              <w:rPr>
                <w:rFonts w:hint="eastAsia" w:ascii="仿宋" w:hAnsi="仿宋" w:eastAsia="仿宋" w:cs="仿宋"/>
                <w:i w:val="0"/>
                <w:iCs w:val="0"/>
                <w:color w:val="000000"/>
                <w:sz w:val="20"/>
                <w:szCs w:val="20"/>
                <w:u w:val="none"/>
              </w:rPr>
            </w:pPr>
          </w:p>
        </w:tc>
      </w:tr>
      <w:tr w14:paraId="4FF78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B592D">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0C84C">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3D5C8">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A7BB5">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2E87D">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4F7F1">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DB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250402016-c</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371A9">
            <w:pPr>
              <w:jc w:val="center"/>
              <w:rPr>
                <w:rFonts w:hint="eastAsia" w:ascii="仿宋" w:hAnsi="仿宋" w:eastAsia="仿宋" w:cs="仿宋"/>
                <w:i w:val="0"/>
                <w:iCs w:val="0"/>
                <w:color w:val="000000"/>
                <w:sz w:val="20"/>
                <w:szCs w:val="20"/>
                <w:u w:val="none"/>
              </w:rPr>
            </w:pPr>
          </w:p>
        </w:tc>
      </w:tr>
      <w:tr w14:paraId="7693D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C74C9">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ED31E">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92471">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BFCE2">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444D2">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DFC9C">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894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250402005*4</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35668">
            <w:pPr>
              <w:jc w:val="center"/>
              <w:rPr>
                <w:rFonts w:hint="eastAsia" w:ascii="仿宋" w:hAnsi="仿宋" w:eastAsia="仿宋" w:cs="仿宋"/>
                <w:i w:val="0"/>
                <w:iCs w:val="0"/>
                <w:color w:val="000000"/>
                <w:sz w:val="20"/>
                <w:szCs w:val="20"/>
                <w:u w:val="none"/>
              </w:rPr>
            </w:pPr>
          </w:p>
        </w:tc>
      </w:tr>
      <w:tr w14:paraId="00CA3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E85E2">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C7865">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815F3">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A166C">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396BE">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1B728">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E92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250402036</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06ABE">
            <w:pPr>
              <w:jc w:val="center"/>
              <w:rPr>
                <w:rFonts w:hint="eastAsia" w:ascii="仿宋" w:hAnsi="仿宋" w:eastAsia="仿宋" w:cs="仿宋"/>
                <w:i w:val="0"/>
                <w:iCs w:val="0"/>
                <w:color w:val="000000"/>
                <w:sz w:val="20"/>
                <w:szCs w:val="20"/>
                <w:u w:val="none"/>
              </w:rPr>
            </w:pPr>
          </w:p>
        </w:tc>
      </w:tr>
      <w:tr w14:paraId="4AA66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39446">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7C85A">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A59B0">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26B67">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9A8EB">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1EE5F">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69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250402003</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22B0E">
            <w:pPr>
              <w:jc w:val="center"/>
              <w:rPr>
                <w:rFonts w:hint="eastAsia" w:ascii="仿宋" w:hAnsi="仿宋" w:eastAsia="仿宋" w:cs="仿宋"/>
                <w:i w:val="0"/>
                <w:iCs w:val="0"/>
                <w:color w:val="000000"/>
                <w:sz w:val="20"/>
                <w:szCs w:val="20"/>
                <w:u w:val="none"/>
              </w:rPr>
            </w:pPr>
          </w:p>
        </w:tc>
      </w:tr>
      <w:tr w14:paraId="73EC3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CB656">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A1345">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91A70">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0FA74">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A155A">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4BDAD">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8D0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250402008-a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CD36C">
            <w:pPr>
              <w:jc w:val="center"/>
              <w:rPr>
                <w:rFonts w:hint="eastAsia" w:ascii="仿宋" w:hAnsi="仿宋" w:eastAsia="仿宋" w:cs="仿宋"/>
                <w:i w:val="0"/>
                <w:iCs w:val="0"/>
                <w:color w:val="000000"/>
                <w:sz w:val="20"/>
                <w:szCs w:val="20"/>
                <w:u w:val="none"/>
              </w:rPr>
            </w:pPr>
          </w:p>
        </w:tc>
      </w:tr>
      <w:tr w14:paraId="375BE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F9919">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5A16C">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DD85F">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E66D0">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10A2A">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0CD1D">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F4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250402010-a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24326">
            <w:pPr>
              <w:jc w:val="center"/>
              <w:rPr>
                <w:rFonts w:hint="eastAsia" w:ascii="仿宋" w:hAnsi="仿宋" w:eastAsia="仿宋" w:cs="仿宋"/>
                <w:i w:val="0"/>
                <w:iCs w:val="0"/>
                <w:color w:val="000000"/>
                <w:sz w:val="20"/>
                <w:szCs w:val="20"/>
                <w:u w:val="none"/>
              </w:rPr>
            </w:pPr>
          </w:p>
        </w:tc>
      </w:tr>
      <w:tr w14:paraId="1B0B0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416C9">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1C1E8">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9CEB0">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BCECB">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7EF3E">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5CBA8">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A41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250402011-a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0E23F">
            <w:pPr>
              <w:jc w:val="center"/>
              <w:rPr>
                <w:rFonts w:hint="eastAsia" w:ascii="仿宋" w:hAnsi="仿宋" w:eastAsia="仿宋" w:cs="仿宋"/>
                <w:i w:val="0"/>
                <w:iCs w:val="0"/>
                <w:color w:val="000000"/>
                <w:sz w:val="20"/>
                <w:szCs w:val="20"/>
                <w:u w:val="none"/>
              </w:rPr>
            </w:pPr>
          </w:p>
        </w:tc>
      </w:tr>
      <w:tr w14:paraId="7FBBD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8420F">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F0B65">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59E95">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E5359">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7F332">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E87B3">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71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250402007-a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272B5">
            <w:pPr>
              <w:jc w:val="center"/>
              <w:rPr>
                <w:rFonts w:hint="eastAsia" w:ascii="仿宋" w:hAnsi="仿宋" w:eastAsia="仿宋" w:cs="仿宋"/>
                <w:i w:val="0"/>
                <w:iCs w:val="0"/>
                <w:color w:val="000000"/>
                <w:sz w:val="20"/>
                <w:szCs w:val="20"/>
                <w:u w:val="none"/>
              </w:rPr>
            </w:pPr>
          </w:p>
        </w:tc>
      </w:tr>
      <w:tr w14:paraId="02244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C9FE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75</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C16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TH1/TH2相关细胞因子六项(IL-2、IL-4、IL-6、IL-10、TNF-α、IFN-γ)</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B0F8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F0D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0D2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B18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7D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250401013</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096A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335</w:t>
            </w:r>
          </w:p>
        </w:tc>
      </w:tr>
      <w:tr w14:paraId="6B80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75116">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87522">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D7C0E">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5FF46">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405F9">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BA2EA">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6A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250401014*4</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720F0">
            <w:pPr>
              <w:jc w:val="center"/>
              <w:rPr>
                <w:rFonts w:hint="eastAsia" w:ascii="仿宋" w:hAnsi="仿宋" w:eastAsia="仿宋" w:cs="仿宋"/>
                <w:i w:val="0"/>
                <w:iCs w:val="0"/>
                <w:color w:val="000000"/>
                <w:sz w:val="20"/>
                <w:szCs w:val="20"/>
                <w:u w:val="none"/>
              </w:rPr>
            </w:pPr>
          </w:p>
        </w:tc>
      </w:tr>
      <w:tr w14:paraId="4D391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05C3B">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ADB2C">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05B39">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4148C">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F4B6D">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7CB73">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0B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250404013-a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6E240">
            <w:pPr>
              <w:jc w:val="center"/>
              <w:rPr>
                <w:rFonts w:hint="eastAsia" w:ascii="仿宋" w:hAnsi="仿宋" w:eastAsia="仿宋" w:cs="仿宋"/>
                <w:i w:val="0"/>
                <w:iCs w:val="0"/>
                <w:color w:val="000000"/>
                <w:sz w:val="20"/>
                <w:szCs w:val="20"/>
                <w:u w:val="none"/>
              </w:rPr>
            </w:pPr>
          </w:p>
        </w:tc>
      </w:tr>
      <w:tr w14:paraId="0A916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941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76</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2AE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自身免疫性肝病抗体7项</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FE2D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298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0ADE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343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37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250402002-a</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035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277</w:t>
            </w:r>
          </w:p>
        </w:tc>
      </w:tr>
      <w:tr w14:paraId="26A65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7386C">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19D7C">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FB117">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CC1D1">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1CC7C">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E3762">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97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250402046</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F879E">
            <w:pPr>
              <w:jc w:val="center"/>
              <w:rPr>
                <w:rFonts w:hint="eastAsia" w:ascii="仿宋" w:hAnsi="仿宋" w:eastAsia="仿宋" w:cs="仿宋"/>
                <w:i w:val="0"/>
                <w:iCs w:val="0"/>
                <w:color w:val="000000"/>
                <w:sz w:val="20"/>
                <w:szCs w:val="20"/>
                <w:u w:val="none"/>
              </w:rPr>
            </w:pPr>
          </w:p>
        </w:tc>
      </w:tr>
      <w:tr w14:paraId="382AD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70BCC">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FC3ED">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A8AC3">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12E73">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31930">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16BAE">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DAD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250402040</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7BB20">
            <w:pPr>
              <w:jc w:val="center"/>
              <w:rPr>
                <w:rFonts w:hint="eastAsia" w:ascii="仿宋" w:hAnsi="仿宋" w:eastAsia="仿宋" w:cs="仿宋"/>
                <w:i w:val="0"/>
                <w:iCs w:val="0"/>
                <w:color w:val="000000"/>
                <w:sz w:val="20"/>
                <w:szCs w:val="20"/>
                <w:u w:val="none"/>
              </w:rPr>
            </w:pPr>
          </w:p>
        </w:tc>
      </w:tr>
      <w:tr w14:paraId="2B043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A6760">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69C52">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22781">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D61A9">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19BF9">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87DC6">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40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250402039</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E6302">
            <w:pPr>
              <w:jc w:val="center"/>
              <w:rPr>
                <w:rFonts w:hint="eastAsia" w:ascii="仿宋" w:hAnsi="仿宋" w:eastAsia="仿宋" w:cs="仿宋"/>
                <w:i w:val="0"/>
                <w:iCs w:val="0"/>
                <w:color w:val="000000"/>
                <w:sz w:val="20"/>
                <w:szCs w:val="20"/>
                <w:u w:val="none"/>
              </w:rPr>
            </w:pPr>
          </w:p>
        </w:tc>
      </w:tr>
      <w:tr w14:paraId="3A088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0D161">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78B62">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A2DAD">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AF68D">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4E85F">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BEADE">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CF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250402007</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646B7">
            <w:pPr>
              <w:jc w:val="center"/>
              <w:rPr>
                <w:rFonts w:hint="eastAsia" w:ascii="仿宋" w:hAnsi="仿宋" w:eastAsia="仿宋" w:cs="仿宋"/>
                <w:i w:val="0"/>
                <w:iCs w:val="0"/>
                <w:color w:val="000000"/>
                <w:sz w:val="20"/>
                <w:szCs w:val="20"/>
                <w:u w:val="none"/>
              </w:rPr>
            </w:pPr>
          </w:p>
        </w:tc>
      </w:tr>
      <w:tr w14:paraId="7831F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54747">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54AD6">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114C8">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E1B4E">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CD695">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54957">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24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250402014</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13C5A">
            <w:pPr>
              <w:jc w:val="center"/>
              <w:rPr>
                <w:rFonts w:hint="eastAsia" w:ascii="仿宋" w:hAnsi="仿宋" w:eastAsia="仿宋" w:cs="仿宋"/>
                <w:i w:val="0"/>
                <w:iCs w:val="0"/>
                <w:color w:val="000000"/>
                <w:sz w:val="20"/>
                <w:szCs w:val="20"/>
                <w:u w:val="none"/>
              </w:rPr>
            </w:pPr>
          </w:p>
        </w:tc>
      </w:tr>
      <w:tr w14:paraId="17F0C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99ACE">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B185E">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5A937">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91689">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84597">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8129D">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73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250402007-a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77175">
            <w:pPr>
              <w:jc w:val="center"/>
              <w:rPr>
                <w:rFonts w:hint="eastAsia" w:ascii="仿宋" w:hAnsi="仿宋" w:eastAsia="仿宋" w:cs="仿宋"/>
                <w:i w:val="0"/>
                <w:iCs w:val="0"/>
                <w:color w:val="000000"/>
                <w:sz w:val="20"/>
                <w:szCs w:val="20"/>
                <w:u w:val="none"/>
              </w:rPr>
            </w:pPr>
          </w:p>
        </w:tc>
      </w:tr>
      <w:tr w14:paraId="6E095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937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77</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BB6D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类风湿性关节炎自身抗体谱</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A4A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111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0B0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239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26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250402002-a</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707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383</w:t>
            </w:r>
          </w:p>
        </w:tc>
      </w:tr>
      <w:tr w14:paraId="77646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69D9F">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390F7">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B984E">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206A7">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2F38B">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B9DAE">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D1E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250402036</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B733E">
            <w:pPr>
              <w:jc w:val="center"/>
              <w:rPr>
                <w:rFonts w:hint="eastAsia" w:ascii="仿宋" w:hAnsi="仿宋" w:eastAsia="仿宋" w:cs="仿宋"/>
                <w:i w:val="0"/>
                <w:iCs w:val="0"/>
                <w:color w:val="000000"/>
                <w:sz w:val="20"/>
                <w:szCs w:val="20"/>
                <w:u w:val="none"/>
              </w:rPr>
            </w:pPr>
          </w:p>
        </w:tc>
      </w:tr>
      <w:tr w14:paraId="1D8C8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78D70">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D3562">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BFA00">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EED27">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A07EF">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411FC">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4E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250402003</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921C9">
            <w:pPr>
              <w:jc w:val="center"/>
              <w:rPr>
                <w:rFonts w:hint="eastAsia" w:ascii="仿宋" w:hAnsi="仿宋" w:eastAsia="仿宋" w:cs="仿宋"/>
                <w:i w:val="0"/>
                <w:iCs w:val="0"/>
                <w:color w:val="000000"/>
                <w:sz w:val="20"/>
                <w:szCs w:val="20"/>
                <w:u w:val="none"/>
              </w:rPr>
            </w:pPr>
          </w:p>
        </w:tc>
      </w:tr>
      <w:tr w14:paraId="68AA6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45D5B">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61491">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4B6DE">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CFDE2">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32DDE">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8E0D9">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BB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250402008-a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5F363">
            <w:pPr>
              <w:jc w:val="center"/>
              <w:rPr>
                <w:rFonts w:hint="eastAsia" w:ascii="仿宋" w:hAnsi="仿宋" w:eastAsia="仿宋" w:cs="仿宋"/>
                <w:i w:val="0"/>
                <w:iCs w:val="0"/>
                <w:color w:val="000000"/>
                <w:sz w:val="20"/>
                <w:szCs w:val="20"/>
                <w:u w:val="none"/>
              </w:rPr>
            </w:pPr>
          </w:p>
        </w:tc>
      </w:tr>
      <w:tr w14:paraId="62B3D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C0A5F">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3299A">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59AA9">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67818">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CF1D7">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3E432">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F9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250402010-a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887A6">
            <w:pPr>
              <w:jc w:val="center"/>
              <w:rPr>
                <w:rFonts w:hint="eastAsia" w:ascii="仿宋" w:hAnsi="仿宋" w:eastAsia="仿宋" w:cs="仿宋"/>
                <w:i w:val="0"/>
                <w:iCs w:val="0"/>
                <w:color w:val="000000"/>
                <w:sz w:val="20"/>
                <w:szCs w:val="20"/>
                <w:u w:val="none"/>
              </w:rPr>
            </w:pPr>
          </w:p>
        </w:tc>
      </w:tr>
      <w:tr w14:paraId="5EFAD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84810">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B74FC">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80222">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D97FE">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03B06">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2078B">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E9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250402011-a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7BB09">
            <w:pPr>
              <w:jc w:val="center"/>
              <w:rPr>
                <w:rFonts w:hint="eastAsia" w:ascii="仿宋" w:hAnsi="仿宋" w:eastAsia="仿宋" w:cs="仿宋"/>
                <w:i w:val="0"/>
                <w:iCs w:val="0"/>
                <w:color w:val="000000"/>
                <w:sz w:val="20"/>
                <w:szCs w:val="20"/>
                <w:u w:val="none"/>
              </w:rPr>
            </w:pPr>
          </w:p>
        </w:tc>
      </w:tr>
      <w:tr w14:paraId="2B8A9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25358">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2D17B">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F9F32">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99C83">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4B7FA">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9BFE0">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4D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250402007-a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AB4B2">
            <w:pPr>
              <w:jc w:val="center"/>
              <w:rPr>
                <w:rFonts w:hint="eastAsia" w:ascii="仿宋" w:hAnsi="仿宋" w:eastAsia="仿宋" w:cs="仿宋"/>
                <w:i w:val="0"/>
                <w:iCs w:val="0"/>
                <w:color w:val="000000"/>
                <w:sz w:val="20"/>
                <w:szCs w:val="20"/>
                <w:u w:val="none"/>
              </w:rPr>
            </w:pPr>
          </w:p>
        </w:tc>
      </w:tr>
      <w:tr w14:paraId="6D3C3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29908">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DA2E5">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A2980">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3AE0A">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41DE1">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772A3">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DA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250402038</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09A74">
            <w:pPr>
              <w:jc w:val="center"/>
              <w:rPr>
                <w:rFonts w:hint="eastAsia" w:ascii="仿宋" w:hAnsi="仿宋" w:eastAsia="仿宋" w:cs="仿宋"/>
                <w:i w:val="0"/>
                <w:iCs w:val="0"/>
                <w:color w:val="000000"/>
                <w:sz w:val="20"/>
                <w:szCs w:val="20"/>
                <w:u w:val="none"/>
              </w:rPr>
            </w:pPr>
          </w:p>
        </w:tc>
      </w:tr>
      <w:tr w14:paraId="34687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3F746">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939D7">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3ADE2">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3ABDA">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436F4">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89C55">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09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250402041</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CE421">
            <w:pPr>
              <w:jc w:val="center"/>
              <w:rPr>
                <w:rFonts w:hint="eastAsia" w:ascii="仿宋" w:hAnsi="仿宋" w:eastAsia="仿宋" w:cs="仿宋"/>
                <w:i w:val="0"/>
                <w:iCs w:val="0"/>
                <w:color w:val="000000"/>
                <w:sz w:val="20"/>
                <w:szCs w:val="20"/>
                <w:u w:val="none"/>
              </w:rPr>
            </w:pPr>
          </w:p>
        </w:tc>
      </w:tr>
      <w:tr w14:paraId="50374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A4E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78</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55A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TORCH八项（风疹病毒抗体IgG、风疹病毒抗体IgM、弓形体抗体IgG、弓形体抗体IgM、巨细胞病毒抗体IgG、巨细胞病毒抗体IgM、单纯疱疹病毒Ⅰ型抗体IgM、单纯疱疹病毒Ⅱ型抗体IgM）</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959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FCD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F4D4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1F0F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辅助诊断弓形虫、风疹病毒、巨细胞病毒、单纯疱疹病毒感染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2ABD">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250403020-b*2</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5C1488">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550</w:t>
            </w:r>
          </w:p>
        </w:tc>
      </w:tr>
      <w:tr w14:paraId="2A1D8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5DA9F">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095E1">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AE2EE">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12A7B">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FCB32">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06567">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7797">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250403021-a*2</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3CDEF">
            <w:pPr>
              <w:jc w:val="center"/>
              <w:rPr>
                <w:rFonts w:hint="eastAsia" w:ascii="仿宋" w:hAnsi="仿宋" w:eastAsia="仿宋" w:cs="仿宋"/>
                <w:i w:val="0"/>
                <w:iCs w:val="0"/>
                <w:color w:val="FF0000"/>
                <w:sz w:val="20"/>
                <w:szCs w:val="20"/>
                <w:u w:val="none"/>
              </w:rPr>
            </w:pPr>
          </w:p>
        </w:tc>
      </w:tr>
      <w:tr w14:paraId="0BF5F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3C57C">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3DB40">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B6BF6">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80C59">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B913D">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F4764">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CFC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250403022-a*2</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CD767">
            <w:pPr>
              <w:jc w:val="center"/>
              <w:rPr>
                <w:rFonts w:hint="eastAsia" w:ascii="仿宋" w:hAnsi="仿宋" w:eastAsia="仿宋" w:cs="仿宋"/>
                <w:i w:val="0"/>
                <w:iCs w:val="0"/>
                <w:color w:val="FF0000"/>
                <w:sz w:val="20"/>
                <w:szCs w:val="20"/>
                <w:u w:val="none"/>
              </w:rPr>
            </w:pPr>
          </w:p>
        </w:tc>
      </w:tr>
      <w:tr w14:paraId="5E9A4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3C08">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2E7C1">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55FA8">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A393B">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ADF2F">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CD5F6">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9C7A">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250403023*2</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21CCD">
            <w:pPr>
              <w:jc w:val="center"/>
              <w:rPr>
                <w:rFonts w:hint="eastAsia" w:ascii="仿宋" w:hAnsi="仿宋" w:eastAsia="仿宋" w:cs="仿宋"/>
                <w:i w:val="0"/>
                <w:iCs w:val="0"/>
                <w:color w:val="FF0000"/>
                <w:sz w:val="20"/>
                <w:szCs w:val="20"/>
                <w:u w:val="none"/>
              </w:rPr>
            </w:pPr>
          </w:p>
        </w:tc>
      </w:tr>
      <w:tr w14:paraId="64F78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578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79</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9B2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生十项TORCH定性（风疹病毒抗体IgG、风疹病毒抗体IgM、弓形体抗体IgG、弓形体抗体IgM、巨细胞病毒抗体IgG、巨细胞病毒抗体IgM、单纯疱疹病毒Ⅰ型抗体IgG、单纯疱疹病毒Ⅰ型抗体IgM、单纯疱疹病毒Ⅱ型抗体IgG、单纯疱疹病毒Ⅱ型抗体IgM）</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ECE7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D1B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38DE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372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辅助诊断弓形虫、风疹病毒、巨细胞病毒、单纯疱疹病毒感染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B582">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250403020-b*2</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A6D3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600</w:t>
            </w:r>
          </w:p>
        </w:tc>
      </w:tr>
      <w:tr w14:paraId="474F1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C2BC5">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65DC3">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37C65">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2A2BA">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3DA08">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57688">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96C2">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250403021-a*2</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573C2">
            <w:pPr>
              <w:jc w:val="center"/>
              <w:rPr>
                <w:rFonts w:hint="eastAsia" w:ascii="仿宋" w:hAnsi="仿宋" w:eastAsia="仿宋" w:cs="仿宋"/>
                <w:i w:val="0"/>
                <w:iCs w:val="0"/>
                <w:color w:val="FF0000"/>
                <w:sz w:val="20"/>
                <w:szCs w:val="20"/>
                <w:u w:val="none"/>
              </w:rPr>
            </w:pPr>
          </w:p>
        </w:tc>
      </w:tr>
      <w:tr w14:paraId="6CD11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3C20E">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E562C">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0F5C2">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89467">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7A1BD">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5F228">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694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250403022-a*2</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EC59F">
            <w:pPr>
              <w:jc w:val="center"/>
              <w:rPr>
                <w:rFonts w:hint="eastAsia" w:ascii="仿宋" w:hAnsi="仿宋" w:eastAsia="仿宋" w:cs="仿宋"/>
                <w:i w:val="0"/>
                <w:iCs w:val="0"/>
                <w:color w:val="FF0000"/>
                <w:sz w:val="20"/>
                <w:szCs w:val="20"/>
                <w:u w:val="none"/>
              </w:rPr>
            </w:pPr>
          </w:p>
        </w:tc>
      </w:tr>
      <w:tr w14:paraId="58CB5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F7951">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F0C96">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CA114">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6EED7">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9EE71">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D047B">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A09D">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250403023*4</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BF0B0">
            <w:pPr>
              <w:jc w:val="center"/>
              <w:rPr>
                <w:rFonts w:hint="eastAsia" w:ascii="仿宋" w:hAnsi="仿宋" w:eastAsia="仿宋" w:cs="仿宋"/>
                <w:i w:val="0"/>
                <w:iCs w:val="0"/>
                <w:color w:val="FF0000"/>
                <w:sz w:val="20"/>
                <w:szCs w:val="20"/>
                <w:u w:val="none"/>
              </w:rPr>
            </w:pPr>
          </w:p>
        </w:tc>
      </w:tr>
      <w:tr w14:paraId="294C3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AA4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CB1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不孕症四项(抗心磷酯抗体、抗精子抗体、抗卵巢抗体测定、抗子宫内膜抗体)</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2A49D">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免疫学方法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B82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C08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DF6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辅助诊断免疫性不孕不育、原因不明的流产</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3C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250402022</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EED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r>
      <w:tr w14:paraId="5CF7F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AAA3B">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B9E90">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E5719">
            <w:pPr>
              <w:jc w:val="center"/>
              <w:rPr>
                <w:rFonts w:hint="eastAsia" w:ascii="仿宋" w:hAnsi="仿宋" w:eastAsia="仿宋" w:cs="仿宋"/>
                <w:i w:val="0"/>
                <w:iCs w:val="0"/>
                <w:color w:val="FF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5B155">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0C1DC">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62940">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32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250402023</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54B61">
            <w:pPr>
              <w:jc w:val="center"/>
              <w:rPr>
                <w:rFonts w:hint="eastAsia" w:ascii="仿宋" w:hAnsi="仿宋" w:eastAsia="仿宋" w:cs="仿宋"/>
                <w:i w:val="0"/>
                <w:iCs w:val="0"/>
                <w:color w:val="000000"/>
                <w:sz w:val="20"/>
                <w:szCs w:val="20"/>
                <w:u w:val="none"/>
              </w:rPr>
            </w:pPr>
          </w:p>
        </w:tc>
      </w:tr>
      <w:tr w14:paraId="6E03A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4E474">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1333A">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A478C">
            <w:pPr>
              <w:jc w:val="center"/>
              <w:rPr>
                <w:rFonts w:hint="eastAsia" w:ascii="仿宋" w:hAnsi="仿宋" w:eastAsia="仿宋" w:cs="仿宋"/>
                <w:i w:val="0"/>
                <w:iCs w:val="0"/>
                <w:color w:val="FF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24127">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8C45D">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33CEF">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11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250402024</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FE042">
            <w:pPr>
              <w:jc w:val="center"/>
              <w:rPr>
                <w:rFonts w:hint="eastAsia" w:ascii="仿宋" w:hAnsi="仿宋" w:eastAsia="仿宋" w:cs="仿宋"/>
                <w:i w:val="0"/>
                <w:iCs w:val="0"/>
                <w:color w:val="000000"/>
                <w:sz w:val="20"/>
                <w:szCs w:val="20"/>
                <w:u w:val="none"/>
              </w:rPr>
            </w:pPr>
          </w:p>
        </w:tc>
      </w:tr>
      <w:tr w14:paraId="0F2EA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52B4F">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B156E">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25D5F">
            <w:pPr>
              <w:jc w:val="center"/>
              <w:rPr>
                <w:rFonts w:hint="eastAsia" w:ascii="仿宋" w:hAnsi="仿宋" w:eastAsia="仿宋" w:cs="仿宋"/>
                <w:i w:val="0"/>
                <w:iCs w:val="0"/>
                <w:color w:val="FF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67A9A">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1DF80">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4F4B6">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BDA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250402016-a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3CF7C">
            <w:pPr>
              <w:jc w:val="center"/>
              <w:rPr>
                <w:rFonts w:hint="eastAsia" w:ascii="仿宋" w:hAnsi="仿宋" w:eastAsia="仿宋" w:cs="仿宋"/>
                <w:i w:val="0"/>
                <w:iCs w:val="0"/>
                <w:color w:val="000000"/>
                <w:sz w:val="20"/>
                <w:szCs w:val="20"/>
                <w:u w:val="none"/>
              </w:rPr>
            </w:pPr>
          </w:p>
        </w:tc>
      </w:tr>
      <w:tr w14:paraId="146EF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55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C0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抗卵巢抗体测定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B795">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11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8D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C1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辅助诊断免疫性不孕不育、原因不明的流产</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54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250402022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9D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r>
      <w:tr w14:paraId="58C8D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AB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9B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抗精子抗体测定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E0B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BC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98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B3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辅助诊断免疫性不孕不育、原因不明的流产</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01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250402024</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E0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r w14:paraId="022E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08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6A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抗心磷脂抗体测定(ACA)</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B3A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CD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90A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F6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辅助诊断免疫性不孕不育、原因不明的流产</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2F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250402016-a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50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r>
      <w:tr w14:paraId="0F9F9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6DC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53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抗子宫内膜抗体测定(EMAb)</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7878">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5A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C3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68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辅助诊断免疫性不孕不育、原因不明的流产</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38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250402023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C7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r>
      <w:tr w14:paraId="4894F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5B3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4A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抑制素B测定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4A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85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77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84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评价睾丸生精功能</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0C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250310073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27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162</w:t>
            </w:r>
          </w:p>
        </w:tc>
      </w:tr>
      <w:tr w14:paraId="4084C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75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3A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硫酸脱氢表雄酮</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30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D7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7F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2A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发展诊断女性多毛症及男性化、多囊卵巢综合症</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78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250310022-a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9F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14:paraId="32DD9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0C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06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IgG抗A效价测定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24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微柱凝胶法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D8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78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55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测定母亲血清中的IgG型抗-A效价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77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260000010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CA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10055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85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1A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IgG抗B效价测定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EF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微柱凝胶法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CC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10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A5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测定母亲血清中的IgG型抗-B效价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CA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260000010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17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7A9E5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B9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57E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单纯疱疹病毒Ⅰ型IgG抗体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657B9">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EB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3D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69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单纯疱疹病毒感染的辅助诊断</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0C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250403023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6D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r>
      <w:tr w14:paraId="6C5D5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15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E8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单纯疱疹病毒Ⅰ型IgM抗体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64F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77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7E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D2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单纯疱疹病毒感染的辅助诊断</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B3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250403023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84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r>
      <w:tr w14:paraId="5413B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F0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CB2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单纯疱疹病毒Ⅱ型IgG抗体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72C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83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0B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49C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单纯疱疹病毒感染的辅助诊断</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02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250403023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37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r>
      <w:tr w14:paraId="74B8F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FAC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7A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单纯疱疹病毒Ⅱ型IgM抗体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6A6C3">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67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1E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8F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单纯疱疹病毒感染的辅助诊断</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9F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250403023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67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r>
      <w:tr w14:paraId="35CDB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D29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36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巨细胞病毒（CMV-DNA）核酸测定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FC1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荧光PCR定量检测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D9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尿液、乳汁、血清3.0ml,全程冷链避光运输至实验室。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0E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D3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为巨细胞病毒感染的诊断提供分子生物学参考依据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53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64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14:paraId="784BC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61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0E2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巨细胞病毒IgG抗体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0446">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5D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00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70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辅助诊断巨细胞病毒感染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ADA6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250403022-a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EEF2">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80</w:t>
            </w:r>
          </w:p>
        </w:tc>
      </w:tr>
      <w:tr w14:paraId="48E7C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9C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15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巨细胞病毒IgM抗体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E90F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A3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76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5D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辅助诊断巨细胞病毒感染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74A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250403022-a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5252">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80</w:t>
            </w:r>
          </w:p>
        </w:tc>
      </w:tr>
      <w:tr w14:paraId="76E4E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2A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C3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风疹病毒IgM抗体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035D0">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B4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794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BF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辅助诊断风疹病毒感染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C90A">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250403021-a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13A2">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85</w:t>
            </w:r>
          </w:p>
        </w:tc>
      </w:tr>
      <w:tr w14:paraId="7F386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E8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38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风疹病毒IgG抗体</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85C6">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9E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45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171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辅助诊断风疹病毒感染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4DB5">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250403021-a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0A973">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85</w:t>
            </w:r>
          </w:p>
        </w:tc>
      </w:tr>
      <w:tr w14:paraId="31A4B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19C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98</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CE3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封闭抗体（流式）</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695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流式细胞仪法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9A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1、须同时送检男方(丈夫)EDTA抗凝全血2-3ml、女方(妻子)不抗凝血3ml,标本无溶血及凝块。</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B4D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2B2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封闭抗体检测用于辅助诊断反复自然流产的患者，封闭抗体缺乏是反复自然流产(RSA)患者重要的免疫学病因。并用于淋巴细胞免疫治疗患者疗效判断。</w:t>
            </w:r>
          </w:p>
        </w:tc>
        <w:tc>
          <w:tcPr>
            <w:tcW w:w="13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175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250201006*4</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659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320</w:t>
            </w:r>
          </w:p>
        </w:tc>
      </w:tr>
      <w:tr w14:paraId="31E3A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E8B42">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9C2E9">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623B5">
            <w:pPr>
              <w:jc w:val="center"/>
              <w:rPr>
                <w:rFonts w:hint="eastAsia" w:ascii="仿宋" w:hAnsi="仿宋" w:eastAsia="仿宋" w:cs="仿宋"/>
                <w:i w:val="0"/>
                <w:iCs w:val="0"/>
                <w:color w:val="000000"/>
                <w:sz w:val="20"/>
                <w:szCs w:val="20"/>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52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2、样本管上务必分别标注患者信息，如女方(妻子)姓名，男方(丈夫)姓名。</w:t>
            </w: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49D7D">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6A387">
            <w:pPr>
              <w:jc w:val="center"/>
              <w:rPr>
                <w:rFonts w:hint="eastAsia" w:ascii="仿宋" w:hAnsi="仿宋" w:eastAsia="仿宋" w:cs="仿宋"/>
                <w:i w:val="0"/>
                <w:iCs w:val="0"/>
                <w:color w:val="000000"/>
                <w:sz w:val="20"/>
                <w:szCs w:val="20"/>
                <w:u w:val="none"/>
              </w:rPr>
            </w:pPr>
          </w:p>
        </w:tc>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035AA">
            <w:pPr>
              <w:jc w:val="center"/>
              <w:rPr>
                <w:rFonts w:hint="eastAsia" w:ascii="仿宋" w:hAnsi="仿宋" w:eastAsia="仿宋" w:cs="仿宋"/>
                <w:i w:val="0"/>
                <w:iCs w:val="0"/>
                <w:color w:val="000000"/>
                <w:sz w:val="20"/>
                <w:szCs w:val="20"/>
                <w:u w:val="none"/>
              </w:rPr>
            </w:pP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4BACF">
            <w:pPr>
              <w:jc w:val="center"/>
              <w:rPr>
                <w:rFonts w:hint="eastAsia" w:ascii="仿宋" w:hAnsi="仿宋" w:eastAsia="仿宋" w:cs="仿宋"/>
                <w:i w:val="0"/>
                <w:iCs w:val="0"/>
                <w:color w:val="000000"/>
                <w:sz w:val="20"/>
                <w:szCs w:val="20"/>
                <w:u w:val="none"/>
              </w:rPr>
            </w:pPr>
          </w:p>
        </w:tc>
      </w:tr>
      <w:tr w14:paraId="2FC2F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70991">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03933">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BAF00">
            <w:pPr>
              <w:jc w:val="center"/>
              <w:rPr>
                <w:rFonts w:hint="eastAsia" w:ascii="仿宋" w:hAnsi="仿宋" w:eastAsia="仿宋" w:cs="仿宋"/>
                <w:i w:val="0"/>
                <w:iCs w:val="0"/>
                <w:color w:val="000000"/>
                <w:sz w:val="20"/>
                <w:szCs w:val="20"/>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9B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3、全程冷链避光运输至实验室。</w:t>
            </w: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4D06E">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0E811">
            <w:pPr>
              <w:jc w:val="center"/>
              <w:rPr>
                <w:rFonts w:hint="eastAsia" w:ascii="仿宋" w:hAnsi="仿宋" w:eastAsia="仿宋" w:cs="仿宋"/>
                <w:i w:val="0"/>
                <w:iCs w:val="0"/>
                <w:color w:val="000000"/>
                <w:sz w:val="20"/>
                <w:szCs w:val="20"/>
                <w:u w:val="none"/>
              </w:rPr>
            </w:pPr>
          </w:p>
        </w:tc>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71CD3">
            <w:pPr>
              <w:jc w:val="center"/>
              <w:rPr>
                <w:rFonts w:hint="eastAsia" w:ascii="仿宋" w:hAnsi="仿宋" w:eastAsia="仿宋" w:cs="仿宋"/>
                <w:i w:val="0"/>
                <w:iCs w:val="0"/>
                <w:color w:val="000000"/>
                <w:sz w:val="20"/>
                <w:szCs w:val="20"/>
                <w:u w:val="none"/>
              </w:rPr>
            </w:pP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16DA5">
            <w:pPr>
              <w:jc w:val="center"/>
              <w:rPr>
                <w:rFonts w:hint="eastAsia" w:ascii="仿宋" w:hAnsi="仿宋" w:eastAsia="仿宋" w:cs="仿宋"/>
                <w:i w:val="0"/>
                <w:iCs w:val="0"/>
                <w:color w:val="000000"/>
                <w:sz w:val="20"/>
                <w:szCs w:val="20"/>
                <w:u w:val="none"/>
              </w:rPr>
            </w:pPr>
          </w:p>
        </w:tc>
      </w:tr>
      <w:tr w14:paraId="3628C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8A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41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精子DNA碎片检测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7C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流式细胞仪法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49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新鲜精液量0.5-1ml，全程冷链避光运输至实验室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AF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49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精子DNA完整性与辅助生殖技术密切相关,精子DNA异常可能导致受精失败、胚胎发育停止、流产、胎儿畸形等</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3A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250104036</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B2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w:t>
            </w:r>
          </w:p>
        </w:tc>
      </w:tr>
      <w:tr w14:paraId="1CE8D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58D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F4A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外周血细胞染色体核型分析</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A27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细胞培养法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C77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肝素抗凝全血5ml,全程冷链避光运输至实验室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87D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F26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辅助诊断染色体相关疾病如不孕不育、先天畸形等</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F4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250700001</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EB9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240</w:t>
            </w:r>
          </w:p>
        </w:tc>
      </w:tr>
      <w:tr w14:paraId="784BD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ADFB4">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869BD">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23003">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2865A">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3FC17">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22C5D">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D9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250700014</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01FE9">
            <w:pPr>
              <w:jc w:val="center"/>
              <w:rPr>
                <w:rFonts w:hint="eastAsia" w:ascii="仿宋" w:hAnsi="仿宋" w:eastAsia="仿宋" w:cs="仿宋"/>
                <w:i w:val="0"/>
                <w:iCs w:val="0"/>
                <w:color w:val="000000"/>
                <w:sz w:val="20"/>
                <w:szCs w:val="20"/>
                <w:u w:val="none"/>
              </w:rPr>
            </w:pPr>
          </w:p>
        </w:tc>
      </w:tr>
      <w:tr w14:paraId="3431E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D5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D2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男性不育Y染色体微缺失测定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5E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细胞培养法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4A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EDTA或枸橼酸钠抗凝全血3ml,全程冷链避光运输至实验室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3D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F6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辅助诊断原因不明的无精子症或严重少精子症</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4A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250700013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9C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r>
      <w:tr w14:paraId="71310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DE5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A3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地高辛浓度</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276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B3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67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97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药物浓度测定</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78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250309005-a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06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14:paraId="09DF8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CE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5F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丙戊酸浓度</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60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A4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CF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D9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药物浓度测定</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88B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250309005-a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C7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14:paraId="02594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77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FE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万古霉素药物浓度</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0D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17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CD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F5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药物浓度测定</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2D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250309005-a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55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14:paraId="48E57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F7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BB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他克莫司</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45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B3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13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08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药物浓度测定</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D0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250309005-b</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E5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260</w:t>
            </w:r>
          </w:p>
        </w:tc>
      </w:tr>
      <w:tr w14:paraId="0F6ED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A4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6D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西罗莫司</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73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9B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E3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A6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药物浓度测定</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A3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250309005-b</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74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260</w:t>
            </w:r>
          </w:p>
        </w:tc>
      </w:tr>
      <w:tr w14:paraId="04AAD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71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50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环孢霉素</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00D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E2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DA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6D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药物浓度测定</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CB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250309005-b</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38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260</w:t>
            </w:r>
          </w:p>
        </w:tc>
      </w:tr>
      <w:tr w14:paraId="488BE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53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D3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卡马西平</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62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9F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3C8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AF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药物浓度测定</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8C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250309005-a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09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14:paraId="2AFA5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8DE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109</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59D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肝纤维化四项（血清Ⅳ型胶原、血清Ⅲ型胶原、血清层粘连蛋白、血清透明质酸酶）</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C75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039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686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196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有助于肝纤维化的诊断及疗效评价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40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250305019</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045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r>
      <w:tr w14:paraId="66DBF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C193F">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F7FA7">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8D32F">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82C4F">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E402B">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79C74">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DD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250305018</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E8CD9">
            <w:pPr>
              <w:jc w:val="center"/>
              <w:rPr>
                <w:rFonts w:hint="eastAsia" w:ascii="仿宋" w:hAnsi="仿宋" w:eastAsia="仿宋" w:cs="仿宋"/>
                <w:i w:val="0"/>
                <w:iCs w:val="0"/>
                <w:color w:val="000000"/>
                <w:sz w:val="20"/>
                <w:szCs w:val="20"/>
                <w:u w:val="none"/>
              </w:rPr>
            </w:pPr>
          </w:p>
        </w:tc>
      </w:tr>
      <w:tr w14:paraId="0FA11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EB6DC">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A27A4">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1C249">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49371">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9A321">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07C4C">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BA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250305020</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1244C">
            <w:pPr>
              <w:jc w:val="center"/>
              <w:rPr>
                <w:rFonts w:hint="eastAsia" w:ascii="仿宋" w:hAnsi="仿宋" w:eastAsia="仿宋" w:cs="仿宋"/>
                <w:i w:val="0"/>
                <w:iCs w:val="0"/>
                <w:color w:val="000000"/>
                <w:sz w:val="20"/>
                <w:szCs w:val="20"/>
                <w:u w:val="none"/>
              </w:rPr>
            </w:pPr>
          </w:p>
        </w:tc>
      </w:tr>
      <w:tr w14:paraId="0A744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BC11C">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2BDCE">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A925C">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4C41F">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5C95B">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AB85C">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9B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250305022</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0B8F8">
            <w:pPr>
              <w:jc w:val="center"/>
              <w:rPr>
                <w:rFonts w:hint="eastAsia" w:ascii="仿宋" w:hAnsi="仿宋" w:eastAsia="仿宋" w:cs="仿宋"/>
                <w:i w:val="0"/>
                <w:iCs w:val="0"/>
                <w:color w:val="000000"/>
                <w:sz w:val="20"/>
                <w:szCs w:val="20"/>
                <w:u w:val="none"/>
              </w:rPr>
            </w:pPr>
          </w:p>
        </w:tc>
      </w:tr>
      <w:tr w14:paraId="26DDB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8B2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16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胰高血糖素</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25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A5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24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3A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与胰岛素相对抗，胰高血糖素具有很强的促进糖原分解和糖异生作用，使血糖明显升高</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0A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250310040-a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E1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3A9AF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E8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D3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抗甲状腺微粒体抗体测定(TMAb)</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3E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FC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25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84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防止诊断自身免疫性甲状腺疾病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31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250402018-a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26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r>
      <w:tr w14:paraId="4ACF6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EB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DA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血清反T3(rT3)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50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FB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30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CAF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判断甲状腺功能</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0C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250310012-a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DD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14:paraId="6945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50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7E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甲状腺结合球蛋白(TBG)</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E0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9E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CD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64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排除非甲状腺功能紊乱所引起的T3、T4变化</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99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250310016-a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E20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r>
      <w:tr w14:paraId="2C650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09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56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免疫球蛋白亚型IgG4测定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A8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免疫比浊法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3F6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00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98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3C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250401033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D6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14:paraId="3F079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D2B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DF66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高血压三项（立位）</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C71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4A9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按立位要求采血，EDTA抗凝血浆4ml,全程冷链避光运输至实验室。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63C7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D81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辅助高血压状态评估</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63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250310026</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9D4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94</w:t>
            </w:r>
          </w:p>
        </w:tc>
      </w:tr>
      <w:tr w14:paraId="2C25B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772CD">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94C27">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9920F">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C1754">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A201A">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9135F">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F2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250310027</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10DED">
            <w:pPr>
              <w:jc w:val="center"/>
              <w:rPr>
                <w:rFonts w:hint="eastAsia" w:ascii="仿宋" w:hAnsi="仿宋" w:eastAsia="仿宋" w:cs="仿宋"/>
                <w:i w:val="0"/>
                <w:iCs w:val="0"/>
                <w:color w:val="000000"/>
                <w:sz w:val="20"/>
                <w:szCs w:val="20"/>
                <w:u w:val="none"/>
              </w:rPr>
            </w:pPr>
          </w:p>
        </w:tc>
      </w:tr>
      <w:tr w14:paraId="27CD1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BE495">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638BF">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B539D">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C944C">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C2A61">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6BA32">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27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250310028</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3C84D">
            <w:pPr>
              <w:jc w:val="center"/>
              <w:rPr>
                <w:rFonts w:hint="eastAsia" w:ascii="仿宋" w:hAnsi="仿宋" w:eastAsia="仿宋" w:cs="仿宋"/>
                <w:i w:val="0"/>
                <w:iCs w:val="0"/>
                <w:color w:val="000000"/>
                <w:sz w:val="20"/>
                <w:szCs w:val="20"/>
                <w:u w:val="none"/>
              </w:rPr>
            </w:pPr>
          </w:p>
        </w:tc>
      </w:tr>
      <w:tr w14:paraId="204B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09DCA">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7BED6">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58E9B">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E1EFE">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96ADF">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35F3E">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4D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250310023-a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29D35">
            <w:pPr>
              <w:jc w:val="center"/>
              <w:rPr>
                <w:rFonts w:hint="eastAsia" w:ascii="仿宋" w:hAnsi="仿宋" w:eastAsia="仿宋" w:cs="仿宋"/>
                <w:i w:val="0"/>
                <w:iCs w:val="0"/>
                <w:color w:val="000000"/>
                <w:sz w:val="20"/>
                <w:szCs w:val="20"/>
                <w:u w:val="none"/>
              </w:rPr>
            </w:pPr>
          </w:p>
        </w:tc>
      </w:tr>
      <w:tr w14:paraId="68B31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B1D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116</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C05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高血压三项（卧位）</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BF3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D9E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按卧位要求采血，EDTA抗凝血浆4ml,全程冷链避光运输至实验室。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F18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DD7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辅助高血压状态评估</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BD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250310026</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8C8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94</w:t>
            </w:r>
          </w:p>
        </w:tc>
      </w:tr>
      <w:tr w14:paraId="5CF48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2C3DA">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7ED13">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2E592">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7E913">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E3844">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3CA3F">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299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250310027</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2CE4E">
            <w:pPr>
              <w:jc w:val="center"/>
              <w:rPr>
                <w:rFonts w:hint="eastAsia" w:ascii="仿宋" w:hAnsi="仿宋" w:eastAsia="仿宋" w:cs="仿宋"/>
                <w:i w:val="0"/>
                <w:iCs w:val="0"/>
                <w:color w:val="000000"/>
                <w:sz w:val="20"/>
                <w:szCs w:val="20"/>
                <w:u w:val="none"/>
              </w:rPr>
            </w:pPr>
          </w:p>
        </w:tc>
      </w:tr>
      <w:tr w14:paraId="4792D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34E43">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8E15A">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E5A4E">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BFAB1">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AB2A2">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88C5C">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ED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250310028</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FE62C">
            <w:pPr>
              <w:jc w:val="center"/>
              <w:rPr>
                <w:rFonts w:hint="eastAsia" w:ascii="仿宋" w:hAnsi="仿宋" w:eastAsia="仿宋" w:cs="仿宋"/>
                <w:i w:val="0"/>
                <w:iCs w:val="0"/>
                <w:color w:val="000000"/>
                <w:sz w:val="20"/>
                <w:szCs w:val="20"/>
                <w:u w:val="none"/>
              </w:rPr>
            </w:pPr>
          </w:p>
        </w:tc>
      </w:tr>
      <w:tr w14:paraId="15031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4AA16">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8DFC0">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BF0C5">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9D996">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1D714">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1351E">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CD5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250310023-a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7F24F">
            <w:pPr>
              <w:jc w:val="center"/>
              <w:rPr>
                <w:rFonts w:hint="eastAsia" w:ascii="仿宋" w:hAnsi="仿宋" w:eastAsia="仿宋" w:cs="仿宋"/>
                <w:i w:val="0"/>
                <w:iCs w:val="0"/>
                <w:color w:val="000000"/>
                <w:sz w:val="20"/>
                <w:szCs w:val="20"/>
                <w:u w:val="none"/>
              </w:rPr>
            </w:pPr>
          </w:p>
        </w:tc>
      </w:tr>
      <w:tr w14:paraId="44897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13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4C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醛固酮（立位）</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0E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BC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按立位要求采血，EDTA抗凝血浆2ml,全程冷链避光运输至实验室。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39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AA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原发性高血压辅助诊断，对于诊断原发性醛固酮增多症具有重要意义</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CAC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250310023-a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0C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14:paraId="2D2BC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81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7B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醛固酮（卧位）</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3C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44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按卧位要求采血，EDTA抗凝血浆2ml,全程冷链避光运输至实验室。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8F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1C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原发性高血压辅助诊断，对于诊断原发性醛固酮增多症具有重要意义</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29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250310023-a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28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14:paraId="012C1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6C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12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尿香草苦杏仁酸(VMA)测定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09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色谱法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5F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24小时尿10ml(加入浓盐酸5ml防腐，计尿总量),全程冷链避光运输至实验室。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7F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8E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辅助诊断嗜铬细胞瘤</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79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250310025-a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4A8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14:paraId="0FDD8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9A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EE6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抗组蛋白抗体(AHA)测定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45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FB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6A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C1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52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250402049-a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50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r>
      <w:tr w14:paraId="2914C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6B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FF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人类白细胞抗原B27测定(HLA-B27)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BE6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流式细胞仪法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9C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EDTA抗凝全血2.0ml,全程冷链避光运输至实验室。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A2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B0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辅助诊断强直性脊椎炎</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48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250203068</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0B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14:paraId="27448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53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94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抗磷脂酶A2受体抗体检测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06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56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D8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C7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膜性肾小球肾炎特异性血清标记物</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E0F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250307032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8A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135</w:t>
            </w:r>
          </w:p>
        </w:tc>
      </w:tr>
      <w:tr w14:paraId="47677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50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2AF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抗β2-糖蛋白1抗体测定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BC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酶联免疫法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C8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55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EA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辅助诊断抗磷脂综合征</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FA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250402042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2E7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r>
      <w:tr w14:paraId="24C04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5D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5F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可溶性生长刺激表达基因2蛋白定量检测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A2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39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86B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27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辅助诊断慢性心力衰竭及预后评估</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C1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250306017</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25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260</w:t>
            </w:r>
          </w:p>
        </w:tc>
      </w:tr>
      <w:tr w14:paraId="70F66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8A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09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抗肾小球基底膜抗体IgG测定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FF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22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5C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11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C8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250402019-b</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F8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88</w:t>
            </w:r>
          </w:p>
        </w:tc>
      </w:tr>
      <w:tr w14:paraId="5B1BF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48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84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糖化血清蛋白</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4A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E08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95A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AC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反映患者过去2周左右的平均血糖水平，并且不受临时血糖波动的影响</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AF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250302002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B7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r>
      <w:tr w14:paraId="2E174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97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CB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骨髓涂片细胞学检验</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C1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涂片染色镜检</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80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血片2张，骨髓片6张，干燥后妥善包装送检。</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14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73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辅助诊断白血病、巨幼红细胞性贫血、再生障碍性贫血等血液系统疾病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0D9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250201001</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DE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14:paraId="6EE1A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31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85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淋巴细胞亚群分析</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74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流式细胞仪法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0B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EDTA抗凝全血2.0ml,全程冷链避光运输至实验室。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F6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7D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通过对淋巴细胞亚群的检测，精准评估机体细胞免疫能力。主要用于肿瘤患者化疗药物耐药性评估，超进展风险评估，自身免疫性疾病严重程度及发病风险评估。</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1A6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250401039*5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087E0">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225</w:t>
            </w:r>
          </w:p>
        </w:tc>
      </w:tr>
      <w:tr w14:paraId="259B4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FB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C0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微量元素六项（铜、锌、钙、镁、铁、铅）</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D74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原子法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18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肝素抗凝全血2ml,全程冷链避光运输至实验室。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86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55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监测人体内微量元素平衡状态，预防微量元素失衡所致疾病的发生。铅为有毒金属元素，辅助诊断铅中毒。</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659B0">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250304013-a*2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DFBC">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150</w:t>
            </w:r>
          </w:p>
        </w:tc>
      </w:tr>
      <w:tr w14:paraId="3CA4A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705F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130</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65C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胃功能三项（胃蛋白酶原Ⅰ、Ⅱ、胃泌素-17）</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B7F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880C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血清2ml,全程冷链避光运输至实验室。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8C9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63CC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辅助诊断消化性溃疡、胃粘膜萎缩、胃底粘腺病变等胃疾病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98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250403086</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5A6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285</w:t>
            </w:r>
          </w:p>
        </w:tc>
      </w:tr>
      <w:tr w14:paraId="2205C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582D6">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3FB00">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907F5">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4459E">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68740">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C0D8E">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76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250404028-b*2</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89F48">
            <w:pPr>
              <w:jc w:val="center"/>
              <w:rPr>
                <w:rFonts w:hint="eastAsia" w:ascii="仿宋" w:hAnsi="仿宋" w:eastAsia="仿宋" w:cs="仿宋"/>
                <w:i w:val="0"/>
                <w:iCs w:val="0"/>
                <w:color w:val="000000"/>
                <w:sz w:val="20"/>
                <w:szCs w:val="20"/>
                <w:u w:val="none"/>
              </w:rPr>
            </w:pPr>
          </w:p>
        </w:tc>
      </w:tr>
      <w:tr w14:paraId="740D1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1A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58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血清生长激素测定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09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CE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EC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91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辅助诊断垂体腺瘤、巨人症、侏儒症、肢端肥大症诊断及糖尿病研究</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3D9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250310003-a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53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r>
      <w:tr w14:paraId="657FF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21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FC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胰岛素样生长因子结合蛋白-1检测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4F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胶体金法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CF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1E9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27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辅助诊断垂体腺瘤、巨人症、侏儒症、肢端肥大症诊断及糖尿病研究</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453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250310066-a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E64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w:t>
            </w:r>
          </w:p>
        </w:tc>
      </w:tr>
      <w:tr w14:paraId="67EEF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177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35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促红细胞生成素测定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E1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CCE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D3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A3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辅助诊断肾性贫血、肾血管性疾病及肾上腺肿瘤等疾病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52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250310029-a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4D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r>
      <w:tr w14:paraId="629BF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B1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85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降钙素测定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FC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4D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0C9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EF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骨代谢指标，辅助诊断甲状腺髓样瘤</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FF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250310008-a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50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r>
      <w:tr w14:paraId="44AC5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2A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92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干扰素</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58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B7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F8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21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为感染期间炎症和免疫系统参与的关键标志物</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4D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250401013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7D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4EAC3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45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C3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白介素（IL-8）</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989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8E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B0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8B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辅助诊断免疫系统疾病或感染性疾病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8C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250401014</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1E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w:t>
            </w:r>
          </w:p>
        </w:tc>
      </w:tr>
      <w:tr w14:paraId="41071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3B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A3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涎液化糖链抗原KL-6检测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424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21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89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C5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辅助诊断结缔组织病相关间质性肺病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78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250402066</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53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w:t>
            </w:r>
          </w:p>
        </w:tc>
      </w:tr>
      <w:tr w14:paraId="526E9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14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C1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血浆蛋白C测定(PC)</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D9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凝固法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62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血浆2ml(1:9枸橼酸钠抗凝)，采血1小时内离心并分离,全程冷链避光运输至实验室。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06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50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CB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250203051</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300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14:paraId="6CDB1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ED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93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血浆蛋白S测定(PS)</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3F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发色底物法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BFF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血浆2ml(1:9枸橼酸钠抗凝)，采血1小时内离心并分离,全程冷链避光运输至实验室。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73B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23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66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250203054</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EA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14:paraId="351E7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C0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C1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人乳头瘤病毒E6/E7检测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E0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二代杂交捕获法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B3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使用专用采样刷采集宫颈上皮细胞，放入专用保存液管密闭送检。</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40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D8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排查是否有HPVE6和HPVE7感染所引起的癌前病变</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413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250403066-a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E2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320</w:t>
            </w:r>
          </w:p>
        </w:tc>
      </w:tr>
      <w:tr w14:paraId="1EE73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F3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8B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人乳头瘤病毒HPV23分型检测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B9F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荧光PCR法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DD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使用专用采样器采集宫颈脱落细胞，放入保存液管密闭送检。</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39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43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辅助诊断人乳头瘤病毒感染</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A4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250403066</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83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w:t>
            </w:r>
          </w:p>
        </w:tc>
      </w:tr>
      <w:tr w14:paraId="467CC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69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6D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狼疮抗凝物质筛查</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A2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凝固法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8F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EDTA或枸橼酸钠抗凝全血3ml,全程冷链避光运输至实验室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F1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EC4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辅助诊断免疫系统疾病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C5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250203055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AD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r w14:paraId="43E01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B5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CC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异常凝血酶原测定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FE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44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5E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B5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辅助诊断肝癌等疾病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0A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250305032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20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190</w:t>
            </w:r>
          </w:p>
        </w:tc>
      </w:tr>
      <w:tr w14:paraId="7082A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18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2F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肿瘤坏死因子测定(TNF)</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E4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54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80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70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肿瘤坏死因子与肿瘤的发生发展密切相关</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E0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250404013-a</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D1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r>
      <w:tr w14:paraId="4C5F1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1E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49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恶性肿瘤特异生长因子（TSGF）测定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69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比色法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FE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CB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62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辅助诊断恶性肿瘤疾病及肿瘤普查</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11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250404017</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B0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000D2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75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85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血清胃泌素释放肽前体（ProGRP)测定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16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9A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血清0.5ml,全程冷链避光运输至实验室。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64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DF8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用于肺癌的监测和筛查</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2D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250310057</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4B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14:paraId="79CD2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2F1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147</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00D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人附睾蛋白4+CA125</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21F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化学发光法</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51F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血清1ml,全程冷链避光运输至实验室。</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7F3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≤1个工作日</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674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用于卵巢癌的筛查、辅助诊断和疗效监测</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3E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250404030</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4620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175</w:t>
            </w:r>
          </w:p>
        </w:tc>
      </w:tr>
      <w:tr w14:paraId="540F9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6DDC2">
            <w:pPr>
              <w:jc w:val="center"/>
              <w:rPr>
                <w:rFonts w:hint="eastAsia" w:ascii="仿宋" w:hAnsi="仿宋" w:eastAsia="仿宋" w:cs="仿宋"/>
                <w:i w:val="0"/>
                <w:iCs w:val="0"/>
                <w:color w:val="000000"/>
                <w:sz w:val="20"/>
                <w:szCs w:val="20"/>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C9414">
            <w:pPr>
              <w:jc w:val="center"/>
              <w:rPr>
                <w:rFonts w:hint="eastAsia" w:ascii="仿宋" w:hAnsi="仿宋" w:eastAsia="仿宋" w:cs="仿宋"/>
                <w:i w:val="0"/>
                <w:iCs w:val="0"/>
                <w:color w:val="000000"/>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830A5">
            <w:pPr>
              <w:jc w:val="center"/>
              <w:rPr>
                <w:rFonts w:hint="eastAsia" w:ascii="仿宋" w:hAnsi="仿宋" w:eastAsia="仿宋" w:cs="仿宋"/>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E2BD4">
            <w:pPr>
              <w:jc w:val="center"/>
              <w:rPr>
                <w:rFonts w:hint="eastAsia" w:ascii="仿宋" w:hAnsi="仿宋" w:eastAsia="仿宋" w:cs="仿宋"/>
                <w:i w:val="0"/>
                <w:iCs w:val="0"/>
                <w:color w:val="000000"/>
                <w:sz w:val="20"/>
                <w:szCs w:val="20"/>
                <w:u w:val="none"/>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1786F">
            <w:pPr>
              <w:jc w:val="center"/>
              <w:rPr>
                <w:rFonts w:hint="eastAsia" w:ascii="仿宋" w:hAnsi="仿宋" w:eastAsia="仿宋" w:cs="仿宋"/>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4613A">
            <w:pPr>
              <w:jc w:val="center"/>
              <w:rPr>
                <w:rFonts w:hint="eastAsia" w:ascii="仿宋" w:hAnsi="仿宋" w:eastAsia="仿宋" w:cs="仿宋"/>
                <w:i w:val="0"/>
                <w:iCs w:val="0"/>
                <w:color w:val="000000"/>
                <w:sz w:val="20"/>
                <w:szCs w:val="20"/>
                <w:u w:val="none"/>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C6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250404011-a</w:t>
            </w: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9FAE0">
            <w:pPr>
              <w:jc w:val="center"/>
              <w:rPr>
                <w:rFonts w:hint="eastAsia" w:ascii="仿宋" w:hAnsi="仿宋" w:eastAsia="仿宋" w:cs="仿宋"/>
                <w:i w:val="0"/>
                <w:iCs w:val="0"/>
                <w:color w:val="000000"/>
                <w:sz w:val="20"/>
                <w:szCs w:val="20"/>
                <w:u w:val="none"/>
              </w:rPr>
            </w:pPr>
          </w:p>
        </w:tc>
      </w:tr>
      <w:tr w14:paraId="0C97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CC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97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粪便钙卫蛋白检测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68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免疫学方法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E4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粪便样本≥1ml或≥1g,全程冷链避光运输至实验室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71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E2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用于结直肠癌和癌前病变筛查、消化道初诊和炎症性肠炎</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AF6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250301020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F9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130</w:t>
            </w:r>
          </w:p>
        </w:tc>
      </w:tr>
      <w:tr w14:paraId="3EC12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49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9D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尿结石成份分析</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200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红外光谱法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81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手术取出结石后，用无菌蒸馏水冲洗干净，置于干燥洁净试管、无菌痰杯或尿杯内送检。结石要求绿豆大小以上，送检2颗以上结石。</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DD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1C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用于泌尿系统各类结石的成份分析，根据不同成份给予不同的预防建议</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40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250307023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DD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14:paraId="3C39C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A3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C32F">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CD19+CD20+淋巴细胞计数</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2BE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流式细胞仪法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8D16">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EDTA抗凝全血2.0ml,全程冷链避光运输至实验室。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DE8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0079">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通过对淋巴细胞亚群的检测，精准评估机体细胞免疫能力。</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293F">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250401039*2</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95FD">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90</w:t>
            </w:r>
          </w:p>
        </w:tc>
      </w:tr>
      <w:tr w14:paraId="66AEE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01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EFA3">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抗酪氨酸磷酸酶抗体测定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2D81">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8D09">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29DA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825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辅助早期诊断1型糖尿病及糖尿病类型的辅助鉴别。</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7057">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250402057-a</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7135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70</w:t>
            </w:r>
          </w:p>
        </w:tc>
      </w:tr>
      <w:tr w14:paraId="1E903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B0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B3198">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锌转运蛋白8抗体测定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C429">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820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38D5C">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A725">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辅助早期诊断2型糖尿病及糖尿病类型的辅助鉴别。</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F1E5">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250402067</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234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70</w:t>
            </w:r>
          </w:p>
        </w:tc>
      </w:tr>
      <w:tr w14:paraId="05730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DF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EAF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血清骨钙素测定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0997">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52AC">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757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1221">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骨代谢(骨形成)指标。</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1036">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250308008-a</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7A03">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90</w:t>
            </w:r>
          </w:p>
        </w:tc>
      </w:tr>
      <w:tr w14:paraId="6A0A0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AD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154</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1FB2">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β胶联降解产物(β-CTX）</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12A9">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6110">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AED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432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监测骨质疏松症或其它骨疾病的抗吸收治疗，增高见于甲状旁腺功能亢进，变形性骨炎，绝经后等，减低见于甲状旁腺功能低下症。</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41F6">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250311005-a</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D0B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85</w:t>
            </w:r>
          </w:p>
        </w:tc>
      </w:tr>
      <w:tr w14:paraId="64831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10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155</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BEA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I型胶原羧基端前肽(PICP)测定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5F3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8945">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57D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C67D">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用于辅助诊断骨质疏松症。</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1796">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250311005</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F241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80</w:t>
            </w:r>
          </w:p>
        </w:tc>
      </w:tr>
      <w:tr w14:paraId="20E1D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BE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105C">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阿尔茨海默相关神经丝蛋白（AD7C-NTP）检测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021D">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E3A6">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3FC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388D">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用于辅助诊断阿尔茨海默病。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2D819">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250401038</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AA9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320</w:t>
            </w:r>
          </w:p>
        </w:tc>
      </w:tr>
      <w:tr w14:paraId="5C1B7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50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157</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20F6">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磷酸化tau-181蛋白测定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9772C">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B3C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04BC0">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4E36">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用于辅助诊断阿尔茨海默病。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49DF">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250301022</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028A">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200</w:t>
            </w:r>
          </w:p>
        </w:tc>
      </w:tr>
      <w:tr w14:paraId="647D7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10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158</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6B32">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β淀粉样蛋白40测定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D947">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DFE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639D">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2DA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用于辅助诊断阿尔茨海默病。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578B">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250301023</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935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200</w:t>
            </w:r>
          </w:p>
        </w:tc>
      </w:tr>
      <w:tr w14:paraId="215DB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23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159</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F264">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β淀粉样蛋白42测定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CC95">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A8DCF">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A63C">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9806">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用于辅助诊断阿尔茨海默病。</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178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250301023</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331A">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200</w:t>
            </w:r>
          </w:p>
        </w:tc>
      </w:tr>
      <w:tr w14:paraId="107AB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FB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3873">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中性粒细胞明胶酶相关脂质运载蛋白测定</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5A3D">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化学发光法</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972F">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血清1ml,全程冷链避光运输至实验室。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66D5D">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E8D2">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用于辅助诊断早期急性肾损伤早期及‌多种肾脏疾病评估‌。</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3A97">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250307031-a</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AE98C">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150</w:t>
            </w:r>
          </w:p>
        </w:tc>
      </w:tr>
      <w:tr w14:paraId="79EEB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D00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BC78">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单纯疱疹病毒1型(HSVl-DNA)定性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23A2">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PCR定性检测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DBCA">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分泌物或疱疹液-无菌拭子,全程冷链避光运输至实验室。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BEC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5D9F">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用于单纯疱疹病毒感染的辅助诊断。</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9CEA">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250403065</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4550">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50</w:t>
            </w:r>
          </w:p>
        </w:tc>
      </w:tr>
      <w:tr w14:paraId="01FAB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8D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39E51">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单纯疱疹病毒Ⅱ型(HSVⅡ-DNA)定性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64C1">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PCR定性检测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127E">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分泌物或疱疹液-无菌拭子,全程冷链避光运输至实验室。</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43D9">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≤2个工作日</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0E4C">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用于单纯疱疹病毒感染的辅助诊断。</w:t>
            </w:r>
          </w:p>
        </w:tc>
        <w:tc>
          <w:tcPr>
            <w:tcW w:w="13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8463">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250403065</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E026">
            <w:pPr>
              <w:keepNext w:val="0"/>
              <w:keepLines w:val="0"/>
              <w:widowControl/>
              <w:suppressLineNumbers w:val="0"/>
              <w:jc w:val="center"/>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50</w:t>
            </w:r>
          </w:p>
        </w:tc>
      </w:tr>
    </w:tbl>
    <w:p w14:paraId="438AFE64"/>
    <w:p w14:paraId="01EA5677"/>
    <w:p w14:paraId="4878CBEF"/>
    <w:p w14:paraId="6B9B38C0"/>
    <w:p w14:paraId="3480655F"/>
    <w:p w14:paraId="293F4DA6"/>
    <w:p w14:paraId="073BD95D"/>
    <w:p w14:paraId="1E381B95"/>
    <w:p w14:paraId="30C7B6A7"/>
    <w:p w14:paraId="12859043"/>
    <w:p w14:paraId="3CC04561"/>
    <w:p w14:paraId="081DA93E"/>
    <w:p w14:paraId="6404B896"/>
    <w:p w14:paraId="3A61FDE8"/>
    <w:p w14:paraId="1392E3C0"/>
    <w:p w14:paraId="123CB8C6"/>
    <w:p w14:paraId="17FA24EB"/>
    <w:p w14:paraId="4E79CDD9"/>
    <w:p w14:paraId="1507EFC5"/>
    <w:p w14:paraId="184F1638"/>
    <w:p w14:paraId="5AFD779F"/>
    <w:p w14:paraId="7F31D2E4"/>
    <w:p w14:paraId="44BEBC92"/>
    <w:p w14:paraId="64E109C5"/>
    <w:p w14:paraId="6B0E2BBA"/>
    <w:p w14:paraId="0A0091A2"/>
    <w:p w14:paraId="52603E51"/>
    <w:p w14:paraId="6172EE38"/>
    <w:p w14:paraId="0BD11E0F"/>
    <w:p w14:paraId="5530860B"/>
    <w:p w14:paraId="33C29887"/>
    <w:p w14:paraId="2F9360F5"/>
    <w:p w14:paraId="7FAF221D"/>
    <w:p w14:paraId="02384437"/>
    <w:p w14:paraId="383606EE">
      <w:pPr>
        <w:rPr>
          <w:rFonts w:hint="eastAsia"/>
          <w:lang w:val="en-US" w:eastAsia="zh-CN"/>
        </w:rPr>
      </w:pPr>
      <w:r>
        <w:rPr>
          <w:rFonts w:hint="eastAsia"/>
          <w:lang w:val="en-US" w:eastAsia="zh-CN"/>
        </w:rPr>
        <w:t>附件二：</w:t>
      </w:r>
    </w:p>
    <w:p w14:paraId="5670FFAE">
      <w:pPr>
        <w:rPr>
          <w:rFonts w:hint="eastAsia"/>
          <w:lang w:val="en-US" w:eastAsia="zh-CN"/>
        </w:rPr>
      </w:pPr>
      <w:r>
        <w:rPr>
          <w:rFonts w:hint="eastAsia"/>
          <w:lang w:val="en-US" w:eastAsia="zh-CN"/>
        </w:rPr>
        <w:t>病理：</w:t>
      </w:r>
    </w:p>
    <w:tbl>
      <w:tblPr>
        <w:tblStyle w:val="12"/>
        <w:tblW w:w="8707"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0"/>
        <w:gridCol w:w="1104"/>
        <w:gridCol w:w="1040"/>
        <w:gridCol w:w="1564"/>
        <w:gridCol w:w="930"/>
        <w:gridCol w:w="1253"/>
        <w:gridCol w:w="1227"/>
        <w:gridCol w:w="919"/>
      </w:tblGrid>
      <w:tr w14:paraId="5F87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1" w:hRule="atLeast"/>
        </w:trPr>
        <w:tc>
          <w:tcPr>
            <w:tcW w:w="670" w:type="dxa"/>
            <w:tcBorders>
              <w:top w:val="single" w:color="auto" w:sz="4" w:space="0"/>
            </w:tcBorders>
            <w:shd w:val="clear" w:color="auto" w:fill="auto"/>
            <w:vAlign w:val="top"/>
          </w:tcPr>
          <w:p w14:paraId="36932527">
            <w:pPr>
              <w:keepNext w:val="0"/>
              <w:keepLines w:val="0"/>
              <w:widowControl/>
              <w:suppressLineNumbers w:val="0"/>
              <w:spacing w:line="240" w:lineRule="auto"/>
              <w:ind w:firstLine="0" w:firstLineChars="0"/>
              <w:jc w:val="both"/>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序号</w:t>
            </w:r>
          </w:p>
        </w:tc>
        <w:tc>
          <w:tcPr>
            <w:tcW w:w="1104" w:type="dxa"/>
            <w:tcBorders>
              <w:top w:val="single" w:color="auto" w:sz="4" w:space="0"/>
            </w:tcBorders>
            <w:shd w:val="clear" w:color="auto" w:fill="auto"/>
            <w:vAlign w:val="top"/>
          </w:tcPr>
          <w:p w14:paraId="46990D9B">
            <w:pPr>
              <w:keepNext w:val="0"/>
              <w:keepLines w:val="0"/>
              <w:widowControl/>
              <w:suppressLineNumbers w:val="0"/>
              <w:spacing w:line="240" w:lineRule="auto"/>
              <w:ind w:firstLine="0" w:firstLineChars="0"/>
              <w:jc w:val="both"/>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检测项目</w:t>
            </w:r>
          </w:p>
        </w:tc>
        <w:tc>
          <w:tcPr>
            <w:tcW w:w="1040" w:type="dxa"/>
            <w:tcBorders>
              <w:top w:val="single" w:color="auto" w:sz="4" w:space="0"/>
            </w:tcBorders>
            <w:shd w:val="clear" w:color="auto" w:fill="auto"/>
            <w:vAlign w:val="top"/>
          </w:tcPr>
          <w:p w14:paraId="1A3A34CF">
            <w:pPr>
              <w:keepNext w:val="0"/>
              <w:keepLines w:val="0"/>
              <w:widowControl/>
              <w:suppressLineNumbers w:val="0"/>
              <w:spacing w:line="240" w:lineRule="auto"/>
              <w:ind w:firstLine="0" w:firstLineChars="0"/>
              <w:jc w:val="both"/>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检测方法</w:t>
            </w:r>
          </w:p>
        </w:tc>
        <w:tc>
          <w:tcPr>
            <w:tcW w:w="1564" w:type="dxa"/>
            <w:tcBorders>
              <w:top w:val="single" w:color="auto" w:sz="4" w:space="0"/>
            </w:tcBorders>
            <w:shd w:val="clear" w:color="auto" w:fill="auto"/>
            <w:vAlign w:val="top"/>
          </w:tcPr>
          <w:p w14:paraId="196C1C98">
            <w:pPr>
              <w:keepNext w:val="0"/>
              <w:keepLines w:val="0"/>
              <w:widowControl/>
              <w:suppressLineNumbers w:val="0"/>
              <w:spacing w:line="240" w:lineRule="auto"/>
              <w:ind w:firstLine="0" w:firstLineChars="0"/>
              <w:jc w:val="both"/>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采样及运输要求</w:t>
            </w:r>
          </w:p>
        </w:tc>
        <w:tc>
          <w:tcPr>
            <w:tcW w:w="930" w:type="dxa"/>
            <w:tcBorders>
              <w:top w:val="single" w:color="auto" w:sz="4" w:space="0"/>
            </w:tcBorders>
            <w:shd w:val="clear" w:color="auto" w:fill="auto"/>
            <w:vAlign w:val="top"/>
          </w:tcPr>
          <w:p w14:paraId="0A27E511">
            <w:pPr>
              <w:keepNext w:val="0"/>
              <w:keepLines w:val="0"/>
              <w:widowControl/>
              <w:suppressLineNumbers w:val="0"/>
              <w:spacing w:line="240" w:lineRule="auto"/>
              <w:ind w:firstLine="0" w:firstLineChars="0"/>
              <w:jc w:val="both"/>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报告单时间</w:t>
            </w:r>
          </w:p>
        </w:tc>
        <w:tc>
          <w:tcPr>
            <w:tcW w:w="1253" w:type="dxa"/>
            <w:tcBorders>
              <w:top w:val="single" w:color="auto" w:sz="4" w:space="0"/>
            </w:tcBorders>
            <w:shd w:val="clear" w:color="auto" w:fill="auto"/>
            <w:vAlign w:val="top"/>
          </w:tcPr>
          <w:p w14:paraId="40828D98">
            <w:pPr>
              <w:keepNext w:val="0"/>
              <w:keepLines w:val="0"/>
              <w:widowControl/>
              <w:suppressLineNumbers w:val="0"/>
              <w:spacing w:line="240" w:lineRule="auto"/>
              <w:ind w:firstLine="0" w:firstLineChars="0"/>
              <w:jc w:val="both"/>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临床意义</w:t>
            </w:r>
          </w:p>
        </w:tc>
        <w:tc>
          <w:tcPr>
            <w:tcW w:w="1227" w:type="dxa"/>
            <w:tcBorders>
              <w:top w:val="single" w:color="auto" w:sz="4" w:space="0"/>
            </w:tcBorders>
            <w:shd w:val="clear" w:color="auto" w:fill="auto"/>
            <w:vAlign w:val="top"/>
          </w:tcPr>
          <w:p w14:paraId="36B86A39">
            <w:pPr>
              <w:keepNext w:val="0"/>
              <w:keepLines w:val="0"/>
              <w:widowControl/>
              <w:suppressLineNumbers w:val="0"/>
              <w:spacing w:line="240" w:lineRule="auto"/>
              <w:ind w:firstLine="0" w:firstLineChars="0"/>
              <w:jc w:val="both"/>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收费代码</w:t>
            </w:r>
          </w:p>
        </w:tc>
        <w:tc>
          <w:tcPr>
            <w:tcW w:w="919" w:type="dxa"/>
            <w:tcBorders>
              <w:top w:val="single" w:color="auto" w:sz="4" w:space="0"/>
            </w:tcBorders>
            <w:shd w:val="clear" w:color="auto" w:fill="auto"/>
            <w:vAlign w:val="top"/>
          </w:tcPr>
          <w:p w14:paraId="2122D547">
            <w:pPr>
              <w:keepNext w:val="0"/>
              <w:keepLines w:val="0"/>
              <w:widowControl/>
              <w:suppressLineNumbers w:val="0"/>
              <w:spacing w:line="240" w:lineRule="auto"/>
              <w:ind w:firstLine="0" w:firstLineChars="0"/>
              <w:jc w:val="both"/>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标准收费</w:t>
            </w:r>
          </w:p>
        </w:tc>
      </w:tr>
      <w:tr w14:paraId="31FB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670" w:type="dxa"/>
            <w:shd w:val="clear" w:color="auto" w:fill="auto"/>
            <w:vAlign w:val="center"/>
          </w:tcPr>
          <w:p w14:paraId="37D9F89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w:t>
            </w:r>
          </w:p>
        </w:tc>
        <w:tc>
          <w:tcPr>
            <w:tcW w:w="1104" w:type="dxa"/>
            <w:shd w:val="clear" w:color="auto" w:fill="auto"/>
            <w:vAlign w:val="center"/>
          </w:tcPr>
          <w:p w14:paraId="0520CCB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BRAF基因突变检测（ARMS-PCR,甲状腺）</w:t>
            </w:r>
          </w:p>
        </w:tc>
        <w:tc>
          <w:tcPr>
            <w:tcW w:w="1040" w:type="dxa"/>
            <w:shd w:val="clear" w:color="auto" w:fill="auto"/>
            <w:vAlign w:val="center"/>
          </w:tcPr>
          <w:p w14:paraId="23A7AD8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实时荧光PCR法</w:t>
            </w:r>
          </w:p>
        </w:tc>
        <w:tc>
          <w:tcPr>
            <w:tcW w:w="1564" w:type="dxa"/>
            <w:shd w:val="clear" w:color="auto" w:fill="auto"/>
            <w:vAlign w:val="center"/>
          </w:tcPr>
          <w:p w14:paraId="50DD3FE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非妇科细胞保存液，常温保温</w:t>
            </w:r>
          </w:p>
        </w:tc>
        <w:tc>
          <w:tcPr>
            <w:tcW w:w="930" w:type="dxa"/>
            <w:shd w:val="clear" w:color="auto" w:fill="auto"/>
            <w:vAlign w:val="center"/>
          </w:tcPr>
          <w:p w14:paraId="2DED3F0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4个工作日</w:t>
            </w:r>
          </w:p>
        </w:tc>
        <w:tc>
          <w:tcPr>
            <w:tcW w:w="1253" w:type="dxa"/>
            <w:shd w:val="clear" w:color="auto" w:fill="auto"/>
            <w:vAlign w:val="center"/>
          </w:tcPr>
          <w:p w14:paraId="3DEC98D8">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1B19542C">
            <w:pPr>
              <w:spacing w:line="240" w:lineRule="auto"/>
              <w:ind w:firstLine="0" w:firstLineChars="0"/>
              <w:jc w:val="center"/>
              <w:rPr>
                <w:rFonts w:hint="eastAsia" w:ascii="仿宋" w:hAnsi="仿宋" w:eastAsia="仿宋" w:cs="仿宋"/>
                <w:i w:val="0"/>
                <w:iCs w:val="0"/>
                <w:color w:val="auto"/>
                <w:sz w:val="20"/>
                <w:szCs w:val="20"/>
                <w:u w:val="none"/>
              </w:rPr>
            </w:pPr>
          </w:p>
        </w:tc>
        <w:tc>
          <w:tcPr>
            <w:tcW w:w="919" w:type="dxa"/>
            <w:shd w:val="clear" w:color="auto" w:fill="auto"/>
            <w:vAlign w:val="center"/>
          </w:tcPr>
          <w:p w14:paraId="463AD0D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600</w:t>
            </w:r>
          </w:p>
        </w:tc>
      </w:tr>
      <w:tr w14:paraId="640B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trPr>
        <w:tc>
          <w:tcPr>
            <w:tcW w:w="670" w:type="dxa"/>
            <w:shd w:val="clear" w:color="auto" w:fill="auto"/>
            <w:vAlign w:val="center"/>
          </w:tcPr>
          <w:p w14:paraId="5AC98CD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w:t>
            </w:r>
          </w:p>
        </w:tc>
        <w:tc>
          <w:tcPr>
            <w:tcW w:w="1104" w:type="dxa"/>
            <w:shd w:val="clear" w:color="auto" w:fill="auto"/>
            <w:vAlign w:val="center"/>
          </w:tcPr>
          <w:p w14:paraId="533D56D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EBV原位杂交一项</w:t>
            </w:r>
          </w:p>
        </w:tc>
        <w:tc>
          <w:tcPr>
            <w:tcW w:w="1040" w:type="dxa"/>
            <w:shd w:val="clear" w:color="auto" w:fill="auto"/>
            <w:vAlign w:val="center"/>
          </w:tcPr>
          <w:p w14:paraId="2EF3A4F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原位杂交</w:t>
            </w:r>
          </w:p>
        </w:tc>
        <w:tc>
          <w:tcPr>
            <w:tcW w:w="1564" w:type="dxa"/>
            <w:shd w:val="clear" w:color="auto" w:fill="auto"/>
            <w:vAlign w:val="center"/>
          </w:tcPr>
          <w:p w14:paraId="614434F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10% 中性缓冲福尔马林固定的活体标本，组织蜡块，病理白片</w:t>
            </w:r>
          </w:p>
        </w:tc>
        <w:tc>
          <w:tcPr>
            <w:tcW w:w="930" w:type="dxa"/>
            <w:shd w:val="clear" w:color="auto" w:fill="auto"/>
            <w:vAlign w:val="center"/>
          </w:tcPr>
          <w:p w14:paraId="2C7B637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5个工作日</w:t>
            </w:r>
          </w:p>
        </w:tc>
        <w:tc>
          <w:tcPr>
            <w:tcW w:w="1253" w:type="dxa"/>
            <w:shd w:val="clear" w:color="auto" w:fill="auto"/>
            <w:vAlign w:val="center"/>
          </w:tcPr>
          <w:p w14:paraId="1462F46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采用原位杂交方法，直接定位检测感染因子，便于与病理形态相结合分析相应病变。肾脏疾病病理诊断，辅助临床疾病诊断。</w:t>
            </w:r>
          </w:p>
        </w:tc>
        <w:tc>
          <w:tcPr>
            <w:tcW w:w="1227" w:type="dxa"/>
            <w:shd w:val="clear" w:color="auto" w:fill="auto"/>
            <w:vAlign w:val="center"/>
          </w:tcPr>
          <w:p w14:paraId="402D5DE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270700001*2</w:t>
            </w:r>
          </w:p>
        </w:tc>
        <w:tc>
          <w:tcPr>
            <w:tcW w:w="919" w:type="dxa"/>
            <w:shd w:val="clear" w:color="auto" w:fill="auto"/>
            <w:vAlign w:val="center"/>
          </w:tcPr>
          <w:p w14:paraId="2AC79E5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300</w:t>
            </w:r>
          </w:p>
        </w:tc>
      </w:tr>
      <w:tr w14:paraId="74E1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670" w:type="dxa"/>
            <w:shd w:val="clear" w:color="auto" w:fill="auto"/>
            <w:vAlign w:val="center"/>
          </w:tcPr>
          <w:p w14:paraId="6E8AF8C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w:t>
            </w:r>
          </w:p>
        </w:tc>
        <w:tc>
          <w:tcPr>
            <w:tcW w:w="1104" w:type="dxa"/>
            <w:shd w:val="clear" w:color="auto" w:fill="auto"/>
            <w:vAlign w:val="center"/>
          </w:tcPr>
          <w:p w14:paraId="44A5581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HER-2/neu基因扩增(FISH,组织)</w:t>
            </w:r>
          </w:p>
        </w:tc>
        <w:tc>
          <w:tcPr>
            <w:tcW w:w="1040" w:type="dxa"/>
            <w:shd w:val="clear" w:color="auto" w:fill="auto"/>
            <w:vAlign w:val="center"/>
          </w:tcPr>
          <w:p w14:paraId="4B3D455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FISH</w:t>
            </w:r>
          </w:p>
        </w:tc>
        <w:tc>
          <w:tcPr>
            <w:tcW w:w="1564" w:type="dxa"/>
            <w:shd w:val="clear" w:color="auto" w:fill="auto"/>
            <w:vAlign w:val="center"/>
          </w:tcPr>
          <w:p w14:paraId="14E954B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蜡块或4-6μm厚白片5-7张</w:t>
            </w:r>
          </w:p>
        </w:tc>
        <w:tc>
          <w:tcPr>
            <w:tcW w:w="930" w:type="dxa"/>
            <w:shd w:val="clear" w:color="auto" w:fill="auto"/>
            <w:vAlign w:val="center"/>
          </w:tcPr>
          <w:p w14:paraId="0A2EEE9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5个工作日</w:t>
            </w:r>
          </w:p>
        </w:tc>
        <w:tc>
          <w:tcPr>
            <w:tcW w:w="1253" w:type="dxa"/>
            <w:shd w:val="clear" w:color="auto" w:fill="auto"/>
            <w:vAlign w:val="center"/>
          </w:tcPr>
          <w:p w14:paraId="71BB0DF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赫赛汀（曲妥珠单抗）的临床用药指导</w:t>
            </w:r>
          </w:p>
        </w:tc>
        <w:tc>
          <w:tcPr>
            <w:tcW w:w="1227" w:type="dxa"/>
            <w:shd w:val="clear" w:color="auto" w:fill="auto"/>
            <w:vAlign w:val="center"/>
          </w:tcPr>
          <w:p w14:paraId="22B3321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270700001-a*2</w:t>
            </w:r>
          </w:p>
        </w:tc>
        <w:tc>
          <w:tcPr>
            <w:tcW w:w="919" w:type="dxa"/>
            <w:shd w:val="clear" w:color="auto" w:fill="auto"/>
            <w:vAlign w:val="center"/>
          </w:tcPr>
          <w:p w14:paraId="3B463C8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2000</w:t>
            </w:r>
          </w:p>
        </w:tc>
      </w:tr>
      <w:tr w14:paraId="11D7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7" w:hRule="atLeast"/>
        </w:trPr>
        <w:tc>
          <w:tcPr>
            <w:tcW w:w="670" w:type="dxa"/>
            <w:shd w:val="clear" w:color="auto" w:fill="auto"/>
            <w:vAlign w:val="center"/>
          </w:tcPr>
          <w:p w14:paraId="170856F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4</w:t>
            </w:r>
          </w:p>
        </w:tc>
        <w:tc>
          <w:tcPr>
            <w:tcW w:w="1104" w:type="dxa"/>
            <w:shd w:val="clear" w:color="auto" w:fill="auto"/>
            <w:vAlign w:val="center"/>
          </w:tcPr>
          <w:p w14:paraId="38407EC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肠癌精准诊疗Mini套餐（ctDNA）（21基因+MSI+化疗2基因）</w:t>
            </w:r>
          </w:p>
        </w:tc>
        <w:tc>
          <w:tcPr>
            <w:tcW w:w="1040" w:type="dxa"/>
            <w:shd w:val="clear" w:color="auto" w:fill="auto"/>
            <w:vAlign w:val="center"/>
          </w:tcPr>
          <w:p w14:paraId="1EB016C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NGS</w:t>
            </w:r>
          </w:p>
        </w:tc>
        <w:tc>
          <w:tcPr>
            <w:tcW w:w="1564" w:type="dxa"/>
            <w:shd w:val="clear" w:color="auto" w:fill="auto"/>
            <w:vAlign w:val="center"/>
          </w:tcPr>
          <w:p w14:paraId="083F7CC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专用无创管采集8-10ml全血</w:t>
            </w:r>
          </w:p>
        </w:tc>
        <w:tc>
          <w:tcPr>
            <w:tcW w:w="930" w:type="dxa"/>
            <w:shd w:val="clear" w:color="auto" w:fill="auto"/>
            <w:vAlign w:val="center"/>
          </w:tcPr>
          <w:p w14:paraId="74F6164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7个工作日</w:t>
            </w:r>
          </w:p>
        </w:tc>
        <w:tc>
          <w:tcPr>
            <w:tcW w:w="1253" w:type="dxa"/>
            <w:shd w:val="clear" w:color="auto" w:fill="auto"/>
            <w:vAlign w:val="center"/>
          </w:tcPr>
          <w:p w14:paraId="57CF28B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指导肠癌靶向治疗、免疫治疗、化疗、分子分型和预后评估</w:t>
            </w:r>
          </w:p>
        </w:tc>
        <w:tc>
          <w:tcPr>
            <w:tcW w:w="1227" w:type="dxa"/>
            <w:shd w:val="clear" w:color="auto" w:fill="auto"/>
            <w:vAlign w:val="center"/>
          </w:tcPr>
          <w:p w14:paraId="14E3A20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270700003*7</w:t>
            </w:r>
          </w:p>
        </w:tc>
        <w:tc>
          <w:tcPr>
            <w:tcW w:w="919" w:type="dxa"/>
            <w:shd w:val="clear" w:color="auto" w:fill="auto"/>
            <w:vAlign w:val="center"/>
          </w:tcPr>
          <w:p w14:paraId="58F1A44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2800</w:t>
            </w:r>
          </w:p>
        </w:tc>
      </w:tr>
      <w:tr w14:paraId="41A3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restart"/>
            <w:shd w:val="clear" w:color="auto" w:fill="auto"/>
            <w:vAlign w:val="center"/>
          </w:tcPr>
          <w:p w14:paraId="1233489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5</w:t>
            </w:r>
          </w:p>
        </w:tc>
        <w:tc>
          <w:tcPr>
            <w:tcW w:w="1104" w:type="dxa"/>
            <w:vMerge w:val="restart"/>
            <w:shd w:val="clear" w:color="auto" w:fill="auto"/>
            <w:vAlign w:val="center"/>
          </w:tcPr>
          <w:p w14:paraId="6B3A51C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常规肾脏病理检测（荧光7+特染3）</w:t>
            </w:r>
          </w:p>
        </w:tc>
        <w:tc>
          <w:tcPr>
            <w:tcW w:w="1040" w:type="dxa"/>
            <w:vMerge w:val="restart"/>
            <w:shd w:val="clear" w:color="auto" w:fill="auto"/>
            <w:vAlign w:val="center"/>
          </w:tcPr>
          <w:p w14:paraId="3BB0AAB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 /特殊染色 /免疫荧光染色</w:t>
            </w:r>
          </w:p>
        </w:tc>
        <w:tc>
          <w:tcPr>
            <w:tcW w:w="1564" w:type="dxa"/>
            <w:vMerge w:val="restart"/>
            <w:shd w:val="clear" w:color="auto" w:fill="auto"/>
            <w:vAlign w:val="center"/>
          </w:tcPr>
          <w:p w14:paraId="1C9C40C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肾穿刺组织</w:t>
            </w:r>
          </w:p>
        </w:tc>
        <w:tc>
          <w:tcPr>
            <w:tcW w:w="930" w:type="dxa"/>
            <w:vMerge w:val="restart"/>
            <w:shd w:val="clear" w:color="auto" w:fill="auto"/>
            <w:vAlign w:val="center"/>
          </w:tcPr>
          <w:p w14:paraId="555FAC9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2个工作日</w:t>
            </w:r>
          </w:p>
        </w:tc>
        <w:tc>
          <w:tcPr>
            <w:tcW w:w="1253" w:type="dxa"/>
            <w:vMerge w:val="restart"/>
            <w:shd w:val="clear" w:color="auto" w:fill="auto"/>
            <w:vAlign w:val="center"/>
          </w:tcPr>
          <w:p w14:paraId="0572D48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肾脏疾病的病理诊断</w:t>
            </w:r>
          </w:p>
        </w:tc>
        <w:tc>
          <w:tcPr>
            <w:tcW w:w="1227" w:type="dxa"/>
            <w:shd w:val="clear" w:color="auto" w:fill="auto"/>
            <w:vAlign w:val="center"/>
          </w:tcPr>
          <w:p w14:paraId="5329E7E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270300001-b</w:t>
            </w:r>
          </w:p>
        </w:tc>
        <w:tc>
          <w:tcPr>
            <w:tcW w:w="919" w:type="dxa"/>
            <w:vMerge w:val="restart"/>
            <w:shd w:val="clear" w:color="auto" w:fill="auto"/>
            <w:vAlign w:val="center"/>
          </w:tcPr>
          <w:p w14:paraId="037A931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1410</w:t>
            </w:r>
          </w:p>
        </w:tc>
      </w:tr>
      <w:tr w14:paraId="171F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670" w:type="dxa"/>
            <w:vMerge w:val="continue"/>
            <w:shd w:val="clear" w:color="auto" w:fill="auto"/>
            <w:vAlign w:val="center"/>
          </w:tcPr>
          <w:p w14:paraId="0DD1E41E">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43818754">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779DE826">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75928AAD">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23B22C3C">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47D6F20E">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2A28C24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270500001*3</w:t>
            </w:r>
          </w:p>
        </w:tc>
        <w:tc>
          <w:tcPr>
            <w:tcW w:w="919" w:type="dxa"/>
            <w:vMerge w:val="continue"/>
            <w:shd w:val="clear" w:color="auto" w:fill="auto"/>
            <w:vAlign w:val="center"/>
          </w:tcPr>
          <w:p w14:paraId="28021E7F">
            <w:pPr>
              <w:spacing w:line="240" w:lineRule="auto"/>
              <w:ind w:firstLine="0" w:firstLineChars="0"/>
              <w:jc w:val="center"/>
              <w:rPr>
                <w:rFonts w:hint="eastAsia" w:ascii="仿宋" w:hAnsi="仿宋" w:eastAsia="仿宋" w:cs="仿宋"/>
                <w:i w:val="0"/>
                <w:iCs w:val="0"/>
                <w:color w:val="auto"/>
                <w:sz w:val="20"/>
                <w:szCs w:val="20"/>
                <w:u w:val="none"/>
              </w:rPr>
            </w:pPr>
          </w:p>
        </w:tc>
      </w:tr>
      <w:tr w14:paraId="0916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3F4FA5DF">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64D6DEE0">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68CC394D">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2C3D1C53">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0AB9DEE0">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7F234DC8">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31A5B27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270400001</w:t>
            </w:r>
          </w:p>
        </w:tc>
        <w:tc>
          <w:tcPr>
            <w:tcW w:w="919" w:type="dxa"/>
            <w:vMerge w:val="continue"/>
            <w:shd w:val="clear" w:color="auto" w:fill="auto"/>
            <w:vAlign w:val="center"/>
          </w:tcPr>
          <w:p w14:paraId="50B55D09">
            <w:pPr>
              <w:spacing w:line="240" w:lineRule="auto"/>
              <w:ind w:firstLine="0" w:firstLineChars="0"/>
              <w:jc w:val="center"/>
              <w:rPr>
                <w:rFonts w:hint="eastAsia" w:ascii="仿宋" w:hAnsi="仿宋" w:eastAsia="仿宋" w:cs="仿宋"/>
                <w:i w:val="0"/>
                <w:iCs w:val="0"/>
                <w:color w:val="auto"/>
                <w:sz w:val="20"/>
                <w:szCs w:val="20"/>
                <w:u w:val="none"/>
              </w:rPr>
            </w:pPr>
          </w:p>
        </w:tc>
      </w:tr>
      <w:tr w14:paraId="68E8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670" w:type="dxa"/>
            <w:vMerge w:val="continue"/>
            <w:shd w:val="clear" w:color="auto" w:fill="auto"/>
            <w:vAlign w:val="center"/>
          </w:tcPr>
          <w:p w14:paraId="74653552">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5C6C747D">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6E1A0D75">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71470AED">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50D8E059">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5DB50997">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15071D3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270500003*7</w:t>
            </w:r>
          </w:p>
        </w:tc>
        <w:tc>
          <w:tcPr>
            <w:tcW w:w="919" w:type="dxa"/>
            <w:vMerge w:val="continue"/>
            <w:shd w:val="clear" w:color="auto" w:fill="auto"/>
            <w:vAlign w:val="center"/>
          </w:tcPr>
          <w:p w14:paraId="4F104E10">
            <w:pPr>
              <w:spacing w:line="240" w:lineRule="auto"/>
              <w:ind w:firstLine="0" w:firstLineChars="0"/>
              <w:jc w:val="center"/>
              <w:rPr>
                <w:rFonts w:hint="eastAsia" w:ascii="仿宋" w:hAnsi="仿宋" w:eastAsia="仿宋" w:cs="仿宋"/>
                <w:i w:val="0"/>
                <w:iCs w:val="0"/>
                <w:color w:val="auto"/>
                <w:sz w:val="20"/>
                <w:szCs w:val="20"/>
                <w:u w:val="none"/>
              </w:rPr>
            </w:pPr>
          </w:p>
        </w:tc>
      </w:tr>
      <w:tr w14:paraId="5CED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2AEA91C1">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34325DD7">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619290E3">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54B794E6">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64F7A565">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3941B5D5">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3DB64A9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56022377">
            <w:pPr>
              <w:spacing w:line="240" w:lineRule="auto"/>
              <w:ind w:firstLine="0" w:firstLineChars="0"/>
              <w:jc w:val="center"/>
              <w:rPr>
                <w:rFonts w:hint="eastAsia" w:ascii="仿宋" w:hAnsi="仿宋" w:eastAsia="仿宋" w:cs="仿宋"/>
                <w:i w:val="0"/>
                <w:iCs w:val="0"/>
                <w:color w:val="auto"/>
                <w:sz w:val="20"/>
                <w:szCs w:val="20"/>
                <w:u w:val="none"/>
              </w:rPr>
            </w:pPr>
          </w:p>
        </w:tc>
      </w:tr>
      <w:tr w14:paraId="25EC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8" w:hRule="atLeast"/>
        </w:trPr>
        <w:tc>
          <w:tcPr>
            <w:tcW w:w="670" w:type="dxa"/>
            <w:shd w:val="clear" w:color="auto" w:fill="auto"/>
            <w:vAlign w:val="center"/>
          </w:tcPr>
          <w:p w14:paraId="51EA966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6</w:t>
            </w:r>
          </w:p>
        </w:tc>
        <w:tc>
          <w:tcPr>
            <w:tcW w:w="1104" w:type="dxa"/>
            <w:shd w:val="clear" w:color="auto" w:fill="auto"/>
            <w:vAlign w:val="center"/>
          </w:tcPr>
          <w:p w14:paraId="382E5D9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常规细胞学涂片检测-细针穿刺活检</w:t>
            </w:r>
          </w:p>
        </w:tc>
        <w:tc>
          <w:tcPr>
            <w:tcW w:w="1040" w:type="dxa"/>
            <w:shd w:val="clear" w:color="auto" w:fill="auto"/>
            <w:vAlign w:val="center"/>
          </w:tcPr>
          <w:p w14:paraId="29D4042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 xml:space="preserve">巴氏染色 / </w:t>
            </w:r>
            <w:r>
              <w:rPr>
                <w:rStyle w:val="19"/>
                <w:rFonts w:hint="eastAsia" w:ascii="仿宋" w:hAnsi="仿宋" w:eastAsia="仿宋" w:cs="仿宋"/>
                <w:bCs/>
                <w:color w:val="auto"/>
                <w:lang w:val="en-US" w:eastAsia="zh-CN" w:bidi="ar"/>
              </w:rPr>
              <w:t xml:space="preserve"> 显微镜检查</w:t>
            </w:r>
          </w:p>
        </w:tc>
        <w:tc>
          <w:tcPr>
            <w:tcW w:w="1564" w:type="dxa"/>
            <w:shd w:val="clear" w:color="auto" w:fill="auto"/>
            <w:vAlign w:val="center"/>
          </w:tcPr>
          <w:p w14:paraId="78C04BD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指各种实质性脏器的细针穿刺标本的涂片 ( 乳腺、甲状腺、淋巴结、体表肿物、深部实质脏器等 , 涂片后快速放入 95% 酒精固定 10分钟。</w:t>
            </w:r>
          </w:p>
        </w:tc>
        <w:tc>
          <w:tcPr>
            <w:tcW w:w="930" w:type="dxa"/>
            <w:shd w:val="clear" w:color="auto" w:fill="auto"/>
            <w:vAlign w:val="center"/>
          </w:tcPr>
          <w:p w14:paraId="0159507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shd w:val="clear" w:color="auto" w:fill="auto"/>
            <w:vAlign w:val="center"/>
          </w:tcPr>
          <w:p w14:paraId="5630BFC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各种实质性脏器的细针穿刺涂片( 乳腺、甲状腺、淋巴结、体表肿物、深部实质脏器等 ) 的检查与诊断。</w:t>
            </w:r>
          </w:p>
        </w:tc>
        <w:tc>
          <w:tcPr>
            <w:tcW w:w="1227" w:type="dxa"/>
            <w:shd w:val="clear" w:color="auto" w:fill="auto"/>
            <w:vAlign w:val="center"/>
          </w:tcPr>
          <w:p w14:paraId="13F74CD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270200003</w:t>
            </w:r>
          </w:p>
        </w:tc>
        <w:tc>
          <w:tcPr>
            <w:tcW w:w="919" w:type="dxa"/>
            <w:shd w:val="clear" w:color="auto" w:fill="auto"/>
            <w:vAlign w:val="center"/>
          </w:tcPr>
          <w:p w14:paraId="567FBFE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104</w:t>
            </w:r>
          </w:p>
        </w:tc>
      </w:tr>
      <w:tr w14:paraId="50FA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5" w:hRule="atLeast"/>
        </w:trPr>
        <w:tc>
          <w:tcPr>
            <w:tcW w:w="670" w:type="dxa"/>
            <w:vMerge w:val="restart"/>
            <w:shd w:val="clear" w:color="auto" w:fill="auto"/>
            <w:vAlign w:val="center"/>
          </w:tcPr>
          <w:p w14:paraId="160086D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7</w:t>
            </w:r>
          </w:p>
        </w:tc>
        <w:tc>
          <w:tcPr>
            <w:tcW w:w="1104" w:type="dxa"/>
            <w:vMerge w:val="restart"/>
            <w:shd w:val="clear" w:color="auto" w:fill="auto"/>
            <w:vAlign w:val="center"/>
          </w:tcPr>
          <w:p w14:paraId="3FC6A63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穿刺组织活检检查与诊断 （1个蜡块）</w:t>
            </w:r>
          </w:p>
        </w:tc>
        <w:tc>
          <w:tcPr>
            <w:tcW w:w="1040" w:type="dxa"/>
            <w:vMerge w:val="restart"/>
            <w:shd w:val="clear" w:color="auto" w:fill="auto"/>
            <w:vAlign w:val="center"/>
          </w:tcPr>
          <w:p w14:paraId="7723A94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6D02CD7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包括肾、乳腺、体表肿块、肺、肝、淋巴结等穿刺组织</w:t>
            </w:r>
          </w:p>
        </w:tc>
        <w:tc>
          <w:tcPr>
            <w:tcW w:w="930" w:type="dxa"/>
            <w:vMerge w:val="restart"/>
            <w:shd w:val="clear" w:color="auto" w:fill="auto"/>
            <w:vAlign w:val="center"/>
          </w:tcPr>
          <w:p w14:paraId="11A5446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3个工作日</w:t>
            </w:r>
          </w:p>
        </w:tc>
        <w:tc>
          <w:tcPr>
            <w:tcW w:w="1253" w:type="dxa"/>
            <w:vMerge w:val="restart"/>
            <w:shd w:val="clear" w:color="auto" w:fill="auto"/>
            <w:vAlign w:val="center"/>
          </w:tcPr>
          <w:p w14:paraId="0FB48BB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包括肾、乳腺、体表肿块、肺、肝、淋巴结等穿刺组织</w:t>
            </w:r>
          </w:p>
        </w:tc>
        <w:tc>
          <w:tcPr>
            <w:tcW w:w="1227" w:type="dxa"/>
            <w:shd w:val="clear" w:color="auto" w:fill="auto"/>
            <w:vAlign w:val="center"/>
          </w:tcPr>
          <w:p w14:paraId="2737851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270300001</w:t>
            </w:r>
          </w:p>
        </w:tc>
        <w:tc>
          <w:tcPr>
            <w:tcW w:w="919" w:type="dxa"/>
            <w:vMerge w:val="restart"/>
            <w:shd w:val="clear" w:color="auto" w:fill="auto"/>
            <w:vAlign w:val="center"/>
          </w:tcPr>
          <w:p w14:paraId="044758A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175</w:t>
            </w:r>
          </w:p>
        </w:tc>
      </w:tr>
      <w:tr w14:paraId="158C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4591284C">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7F863E7A">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19F71758">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1C0F8B92">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7808AFE4">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549B2EF4">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60EA443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199012AC">
            <w:pPr>
              <w:spacing w:line="240" w:lineRule="auto"/>
              <w:ind w:firstLine="0" w:firstLineChars="0"/>
              <w:jc w:val="center"/>
              <w:rPr>
                <w:rFonts w:hint="eastAsia" w:ascii="仿宋" w:hAnsi="仿宋" w:eastAsia="仿宋" w:cs="仿宋"/>
                <w:i w:val="0"/>
                <w:iCs w:val="0"/>
                <w:color w:val="auto"/>
                <w:sz w:val="20"/>
                <w:szCs w:val="20"/>
                <w:u w:val="none"/>
              </w:rPr>
            </w:pPr>
          </w:p>
        </w:tc>
      </w:tr>
      <w:tr w14:paraId="4F54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70" w:type="dxa"/>
            <w:vMerge w:val="continue"/>
            <w:shd w:val="clear" w:color="auto" w:fill="auto"/>
            <w:vAlign w:val="center"/>
          </w:tcPr>
          <w:p w14:paraId="4E88EA7F">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68BC781D">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3244A6B8">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7817757F">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27A49059">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7F06FC08">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21E4F6C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2703-b</w:t>
            </w:r>
          </w:p>
        </w:tc>
        <w:tc>
          <w:tcPr>
            <w:tcW w:w="919" w:type="dxa"/>
            <w:vMerge w:val="continue"/>
            <w:shd w:val="clear" w:color="auto" w:fill="auto"/>
            <w:vAlign w:val="center"/>
          </w:tcPr>
          <w:p w14:paraId="0C18AF08">
            <w:pPr>
              <w:spacing w:line="240" w:lineRule="auto"/>
              <w:ind w:firstLine="0" w:firstLineChars="0"/>
              <w:jc w:val="center"/>
              <w:rPr>
                <w:rFonts w:hint="eastAsia" w:ascii="仿宋" w:hAnsi="仿宋" w:eastAsia="仿宋" w:cs="仿宋"/>
                <w:i w:val="0"/>
                <w:iCs w:val="0"/>
                <w:color w:val="auto"/>
                <w:sz w:val="20"/>
                <w:szCs w:val="20"/>
                <w:u w:val="none"/>
              </w:rPr>
            </w:pPr>
          </w:p>
        </w:tc>
      </w:tr>
      <w:tr w14:paraId="053C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670" w:type="dxa"/>
            <w:shd w:val="clear" w:color="auto" w:fill="auto"/>
            <w:vAlign w:val="center"/>
          </w:tcPr>
          <w:p w14:paraId="155B768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8</w:t>
            </w:r>
          </w:p>
        </w:tc>
        <w:tc>
          <w:tcPr>
            <w:tcW w:w="1104" w:type="dxa"/>
            <w:shd w:val="clear" w:color="auto" w:fill="auto"/>
            <w:vAlign w:val="center"/>
          </w:tcPr>
          <w:p w14:paraId="5171250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胆管/肝癌精准诊疗Mini套餐（ctDNA） （17基因+MSI）</w:t>
            </w:r>
          </w:p>
        </w:tc>
        <w:tc>
          <w:tcPr>
            <w:tcW w:w="1040" w:type="dxa"/>
            <w:shd w:val="clear" w:color="auto" w:fill="auto"/>
            <w:vAlign w:val="center"/>
          </w:tcPr>
          <w:p w14:paraId="19DA7CE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NGS</w:t>
            </w:r>
          </w:p>
        </w:tc>
        <w:tc>
          <w:tcPr>
            <w:tcW w:w="1564" w:type="dxa"/>
            <w:shd w:val="clear" w:color="auto" w:fill="auto"/>
            <w:vAlign w:val="center"/>
          </w:tcPr>
          <w:p w14:paraId="663B8F4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专用无创管采集8-10ml全血</w:t>
            </w:r>
          </w:p>
        </w:tc>
        <w:tc>
          <w:tcPr>
            <w:tcW w:w="930" w:type="dxa"/>
            <w:shd w:val="clear" w:color="auto" w:fill="auto"/>
            <w:vAlign w:val="center"/>
          </w:tcPr>
          <w:p w14:paraId="589AEA8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7个工作日</w:t>
            </w:r>
          </w:p>
        </w:tc>
        <w:tc>
          <w:tcPr>
            <w:tcW w:w="1253" w:type="dxa"/>
            <w:shd w:val="clear" w:color="auto" w:fill="auto"/>
            <w:vAlign w:val="center"/>
          </w:tcPr>
          <w:p w14:paraId="1115814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指导肝癌/胆管癌靶向治疗、免疫治疗用药指导、辅助分子分型、预后评估</w:t>
            </w:r>
          </w:p>
        </w:tc>
        <w:tc>
          <w:tcPr>
            <w:tcW w:w="1227" w:type="dxa"/>
            <w:shd w:val="clear" w:color="auto" w:fill="auto"/>
            <w:vAlign w:val="center"/>
          </w:tcPr>
          <w:p w14:paraId="48EBB8A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270700003*7</w:t>
            </w:r>
          </w:p>
        </w:tc>
        <w:tc>
          <w:tcPr>
            <w:tcW w:w="919" w:type="dxa"/>
            <w:shd w:val="clear" w:color="auto" w:fill="auto"/>
            <w:vAlign w:val="center"/>
          </w:tcPr>
          <w:p w14:paraId="3E9848A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2800</w:t>
            </w:r>
          </w:p>
        </w:tc>
      </w:tr>
      <w:tr w14:paraId="3810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60" w:hRule="atLeast"/>
        </w:trPr>
        <w:tc>
          <w:tcPr>
            <w:tcW w:w="670" w:type="dxa"/>
            <w:shd w:val="clear" w:color="auto" w:fill="auto"/>
            <w:vAlign w:val="center"/>
          </w:tcPr>
          <w:p w14:paraId="706E589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9</w:t>
            </w:r>
          </w:p>
        </w:tc>
        <w:tc>
          <w:tcPr>
            <w:tcW w:w="1104" w:type="dxa"/>
            <w:shd w:val="clear" w:color="auto" w:fill="auto"/>
            <w:vAlign w:val="center"/>
          </w:tcPr>
          <w:p w14:paraId="1FA3BA0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肺癌精准诊疗Mini套餐（FFPE）（26基因+MSI）</w:t>
            </w:r>
          </w:p>
        </w:tc>
        <w:tc>
          <w:tcPr>
            <w:tcW w:w="1040" w:type="dxa"/>
            <w:shd w:val="clear" w:color="auto" w:fill="auto"/>
            <w:vAlign w:val="center"/>
          </w:tcPr>
          <w:p w14:paraId="414243B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NGS</w:t>
            </w:r>
          </w:p>
        </w:tc>
        <w:tc>
          <w:tcPr>
            <w:tcW w:w="1564" w:type="dxa"/>
            <w:shd w:val="clear" w:color="auto" w:fill="auto"/>
            <w:vAlign w:val="center"/>
          </w:tcPr>
          <w:p w14:paraId="1012787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不超过1年的蜡块或10-15张5-6μm厚白片或蜡卷（附H&amp;E片一张）</w:t>
            </w:r>
          </w:p>
        </w:tc>
        <w:tc>
          <w:tcPr>
            <w:tcW w:w="930" w:type="dxa"/>
            <w:shd w:val="clear" w:color="auto" w:fill="auto"/>
            <w:vAlign w:val="center"/>
          </w:tcPr>
          <w:p w14:paraId="511A5A6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7个工作日</w:t>
            </w:r>
          </w:p>
        </w:tc>
        <w:tc>
          <w:tcPr>
            <w:tcW w:w="1253" w:type="dxa"/>
            <w:shd w:val="clear" w:color="auto" w:fill="auto"/>
            <w:vAlign w:val="center"/>
          </w:tcPr>
          <w:p w14:paraId="02D6261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指导肺癌靶向治疗、免疫治疗、分子分型和预后评估</w:t>
            </w:r>
          </w:p>
        </w:tc>
        <w:tc>
          <w:tcPr>
            <w:tcW w:w="1227" w:type="dxa"/>
            <w:shd w:val="clear" w:color="auto" w:fill="auto"/>
            <w:vAlign w:val="center"/>
          </w:tcPr>
          <w:p w14:paraId="3053815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270700003*7</w:t>
            </w:r>
          </w:p>
        </w:tc>
        <w:tc>
          <w:tcPr>
            <w:tcW w:w="919" w:type="dxa"/>
            <w:shd w:val="clear" w:color="auto" w:fill="auto"/>
            <w:vAlign w:val="center"/>
          </w:tcPr>
          <w:p w14:paraId="015809F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2800</w:t>
            </w:r>
          </w:p>
        </w:tc>
      </w:tr>
      <w:tr w14:paraId="3660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trPr>
        <w:tc>
          <w:tcPr>
            <w:tcW w:w="670" w:type="dxa"/>
            <w:shd w:val="clear" w:color="auto" w:fill="auto"/>
            <w:vAlign w:val="center"/>
          </w:tcPr>
          <w:p w14:paraId="0973724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10</w:t>
            </w:r>
          </w:p>
        </w:tc>
        <w:tc>
          <w:tcPr>
            <w:tcW w:w="1104" w:type="dxa"/>
            <w:shd w:val="clear" w:color="auto" w:fill="auto"/>
            <w:vAlign w:val="center"/>
          </w:tcPr>
          <w:p w14:paraId="034F0D8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甲状腺穿刺细胞学检查（ThinPrep）</w:t>
            </w:r>
          </w:p>
        </w:tc>
        <w:tc>
          <w:tcPr>
            <w:tcW w:w="1040" w:type="dxa"/>
            <w:shd w:val="clear" w:color="auto" w:fill="auto"/>
            <w:vAlign w:val="center"/>
          </w:tcPr>
          <w:p w14:paraId="1DBD919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巴氏染色 /电脑自动制片 / 显微镜检查</w:t>
            </w:r>
          </w:p>
        </w:tc>
        <w:tc>
          <w:tcPr>
            <w:tcW w:w="1564" w:type="dxa"/>
            <w:shd w:val="clear" w:color="auto" w:fill="auto"/>
            <w:vAlign w:val="center"/>
          </w:tcPr>
          <w:p w14:paraId="7CE09B1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指各种实质性脏器的细针穿刺标本 ( 乳腺、淋巴结、体表肿物、深部实质脏器等 ), 取材后将组织冲洗进保存瓶。</w:t>
            </w:r>
          </w:p>
        </w:tc>
        <w:tc>
          <w:tcPr>
            <w:tcW w:w="930" w:type="dxa"/>
            <w:shd w:val="clear" w:color="auto" w:fill="auto"/>
            <w:vAlign w:val="center"/>
          </w:tcPr>
          <w:p w14:paraId="0F5D2E4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shd w:val="clear" w:color="auto" w:fill="auto"/>
            <w:vAlign w:val="center"/>
          </w:tcPr>
          <w:p w14:paraId="05E6AF4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甲状腺肿、甲状腺炎、甲状腺肿瘤的辅助鉴别诊断，提高甲状腺疾病术前诊断的准确性</w:t>
            </w:r>
          </w:p>
        </w:tc>
        <w:tc>
          <w:tcPr>
            <w:tcW w:w="1227" w:type="dxa"/>
            <w:shd w:val="clear" w:color="auto" w:fill="auto"/>
            <w:vAlign w:val="center"/>
          </w:tcPr>
          <w:p w14:paraId="57FDE72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270800007-a</w:t>
            </w:r>
          </w:p>
        </w:tc>
        <w:tc>
          <w:tcPr>
            <w:tcW w:w="919" w:type="dxa"/>
            <w:shd w:val="clear" w:color="auto" w:fill="auto"/>
            <w:vAlign w:val="center"/>
          </w:tcPr>
          <w:p w14:paraId="68107AB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180</w:t>
            </w:r>
          </w:p>
        </w:tc>
      </w:tr>
      <w:tr w14:paraId="2461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trPr>
        <w:tc>
          <w:tcPr>
            <w:tcW w:w="670" w:type="dxa"/>
            <w:shd w:val="clear" w:color="auto" w:fill="auto"/>
            <w:vAlign w:val="center"/>
          </w:tcPr>
          <w:p w14:paraId="7EE7183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11</w:t>
            </w:r>
          </w:p>
        </w:tc>
        <w:tc>
          <w:tcPr>
            <w:tcW w:w="1104" w:type="dxa"/>
            <w:shd w:val="clear" w:color="auto" w:fill="auto"/>
            <w:vAlign w:val="center"/>
          </w:tcPr>
          <w:p w14:paraId="20559BC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甲状腺穿刺细胞学检查（国产液基）</w:t>
            </w:r>
          </w:p>
        </w:tc>
        <w:tc>
          <w:tcPr>
            <w:tcW w:w="1040" w:type="dxa"/>
            <w:shd w:val="clear" w:color="auto" w:fill="auto"/>
            <w:vAlign w:val="center"/>
          </w:tcPr>
          <w:p w14:paraId="1185FB7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巴氏染色 /电脑自动制片 / 显微镜检查</w:t>
            </w:r>
          </w:p>
        </w:tc>
        <w:tc>
          <w:tcPr>
            <w:tcW w:w="1564" w:type="dxa"/>
            <w:shd w:val="clear" w:color="auto" w:fill="auto"/>
            <w:vAlign w:val="center"/>
          </w:tcPr>
          <w:p w14:paraId="5C668C6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指各种实质性脏器的细针穿刺标本 ( 乳腺、淋巴结、体表肿物、深部实质脏器等 ), 取材后将组织冲洗进保存瓶。</w:t>
            </w:r>
          </w:p>
        </w:tc>
        <w:tc>
          <w:tcPr>
            <w:tcW w:w="930" w:type="dxa"/>
            <w:shd w:val="clear" w:color="auto" w:fill="auto"/>
            <w:vAlign w:val="center"/>
          </w:tcPr>
          <w:p w14:paraId="38F2490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shd w:val="clear" w:color="auto" w:fill="auto"/>
            <w:vAlign w:val="center"/>
          </w:tcPr>
          <w:p w14:paraId="0062816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甲状腺肿、甲状腺炎、甲状腺肿瘤的辅助鉴别诊断，提高甲状腺疾病术前诊断的准确性</w:t>
            </w:r>
          </w:p>
        </w:tc>
        <w:tc>
          <w:tcPr>
            <w:tcW w:w="1227" w:type="dxa"/>
            <w:shd w:val="clear" w:color="auto" w:fill="auto"/>
            <w:vAlign w:val="center"/>
          </w:tcPr>
          <w:p w14:paraId="7F6FFDC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270800007-a</w:t>
            </w:r>
          </w:p>
        </w:tc>
        <w:tc>
          <w:tcPr>
            <w:tcW w:w="919" w:type="dxa"/>
            <w:shd w:val="clear" w:color="auto" w:fill="auto"/>
            <w:vAlign w:val="center"/>
          </w:tcPr>
          <w:p w14:paraId="2EC3E06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155</w:t>
            </w:r>
          </w:p>
        </w:tc>
      </w:tr>
      <w:tr w14:paraId="7C5E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restart"/>
            <w:shd w:val="clear" w:color="auto" w:fill="auto"/>
            <w:vAlign w:val="center"/>
          </w:tcPr>
          <w:p w14:paraId="2024B75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12</w:t>
            </w:r>
          </w:p>
        </w:tc>
        <w:tc>
          <w:tcPr>
            <w:tcW w:w="1104" w:type="dxa"/>
            <w:vMerge w:val="restart"/>
            <w:shd w:val="clear" w:color="auto" w:fill="auto"/>
            <w:vAlign w:val="center"/>
          </w:tcPr>
          <w:p w14:paraId="6C2615F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甲状腺穿刺细胞学检查（涂片+国产液基）</w:t>
            </w:r>
          </w:p>
        </w:tc>
        <w:tc>
          <w:tcPr>
            <w:tcW w:w="1040" w:type="dxa"/>
            <w:vMerge w:val="restart"/>
            <w:shd w:val="clear" w:color="auto" w:fill="auto"/>
            <w:vAlign w:val="center"/>
          </w:tcPr>
          <w:p w14:paraId="2DE5552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巴氏染色 /电脑自动制片 / 显微镜检查</w:t>
            </w:r>
          </w:p>
        </w:tc>
        <w:tc>
          <w:tcPr>
            <w:tcW w:w="1564" w:type="dxa"/>
            <w:vMerge w:val="restart"/>
            <w:shd w:val="clear" w:color="auto" w:fill="auto"/>
            <w:vAlign w:val="center"/>
          </w:tcPr>
          <w:p w14:paraId="64090DB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指各种实质性脏器的细针穿刺标本 ( 乳腺、淋巴结、体表肿物、深部实质脏器等 ), 取材后将组织冲洗进保存瓶。</w:t>
            </w:r>
          </w:p>
        </w:tc>
        <w:tc>
          <w:tcPr>
            <w:tcW w:w="930" w:type="dxa"/>
            <w:vMerge w:val="restart"/>
            <w:shd w:val="clear" w:color="auto" w:fill="auto"/>
            <w:vAlign w:val="center"/>
          </w:tcPr>
          <w:p w14:paraId="40C68AE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vMerge w:val="restart"/>
            <w:shd w:val="clear" w:color="auto" w:fill="auto"/>
            <w:vAlign w:val="center"/>
          </w:tcPr>
          <w:p w14:paraId="42499BB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甲状腺肿、甲状腺炎、甲状腺肿瘤的辅助鉴别诊断，提高甲状腺疾病术前诊断的准确性</w:t>
            </w:r>
          </w:p>
        </w:tc>
        <w:tc>
          <w:tcPr>
            <w:tcW w:w="1227" w:type="dxa"/>
            <w:shd w:val="clear" w:color="auto" w:fill="auto"/>
            <w:vAlign w:val="center"/>
          </w:tcPr>
          <w:p w14:paraId="761319F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270200003</w:t>
            </w:r>
          </w:p>
        </w:tc>
        <w:tc>
          <w:tcPr>
            <w:tcW w:w="919" w:type="dxa"/>
            <w:vMerge w:val="restart"/>
            <w:shd w:val="clear" w:color="auto" w:fill="auto"/>
            <w:vAlign w:val="center"/>
          </w:tcPr>
          <w:p w14:paraId="5D87611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289</w:t>
            </w:r>
          </w:p>
        </w:tc>
      </w:tr>
      <w:tr w14:paraId="164C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670" w:type="dxa"/>
            <w:vMerge w:val="continue"/>
            <w:shd w:val="clear" w:color="auto" w:fill="auto"/>
            <w:vAlign w:val="center"/>
          </w:tcPr>
          <w:p w14:paraId="260F6AB3">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4A2188B6">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7A69C376">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393166D7">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79EB59E5">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29A09597">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38BB599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270800007-a</w:t>
            </w:r>
          </w:p>
        </w:tc>
        <w:tc>
          <w:tcPr>
            <w:tcW w:w="919" w:type="dxa"/>
            <w:vMerge w:val="continue"/>
            <w:shd w:val="clear" w:color="auto" w:fill="auto"/>
            <w:vAlign w:val="center"/>
          </w:tcPr>
          <w:p w14:paraId="3EBE788B">
            <w:pPr>
              <w:spacing w:line="240" w:lineRule="auto"/>
              <w:ind w:firstLine="0" w:firstLineChars="0"/>
              <w:jc w:val="center"/>
              <w:rPr>
                <w:rFonts w:hint="eastAsia" w:ascii="仿宋" w:hAnsi="仿宋" w:eastAsia="仿宋" w:cs="仿宋"/>
                <w:i w:val="0"/>
                <w:iCs w:val="0"/>
                <w:color w:val="auto"/>
                <w:sz w:val="20"/>
                <w:szCs w:val="20"/>
                <w:u w:val="none"/>
              </w:rPr>
            </w:pPr>
          </w:p>
        </w:tc>
      </w:tr>
      <w:tr w14:paraId="519E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2321910A">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3B0A504C">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0081EC1D">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6D9558CA">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78E8CA12">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7A31A356">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576D8C6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30895796">
            <w:pPr>
              <w:spacing w:line="240" w:lineRule="auto"/>
              <w:ind w:firstLine="0" w:firstLineChars="0"/>
              <w:jc w:val="center"/>
              <w:rPr>
                <w:rFonts w:hint="eastAsia" w:ascii="仿宋" w:hAnsi="仿宋" w:eastAsia="仿宋" w:cs="仿宋"/>
                <w:i w:val="0"/>
                <w:iCs w:val="0"/>
                <w:color w:val="auto"/>
                <w:sz w:val="20"/>
                <w:szCs w:val="20"/>
                <w:u w:val="none"/>
              </w:rPr>
            </w:pPr>
          </w:p>
        </w:tc>
      </w:tr>
      <w:tr w14:paraId="0CF9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70" w:type="dxa"/>
            <w:shd w:val="clear" w:color="auto" w:fill="auto"/>
            <w:vAlign w:val="center"/>
          </w:tcPr>
          <w:p w14:paraId="36BF52A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13</w:t>
            </w:r>
          </w:p>
        </w:tc>
        <w:tc>
          <w:tcPr>
            <w:tcW w:w="1104" w:type="dxa"/>
            <w:shd w:val="clear" w:color="auto" w:fill="auto"/>
            <w:vAlign w:val="center"/>
          </w:tcPr>
          <w:p w14:paraId="65A7C2D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结核PCR检测</w:t>
            </w:r>
          </w:p>
        </w:tc>
        <w:tc>
          <w:tcPr>
            <w:tcW w:w="1040" w:type="dxa"/>
            <w:shd w:val="clear" w:color="auto" w:fill="auto"/>
            <w:vAlign w:val="center"/>
          </w:tcPr>
          <w:p w14:paraId="1AD866A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PCR荧光探针法</w:t>
            </w:r>
          </w:p>
        </w:tc>
        <w:tc>
          <w:tcPr>
            <w:tcW w:w="1564" w:type="dxa"/>
            <w:shd w:val="clear" w:color="auto" w:fill="auto"/>
            <w:vAlign w:val="center"/>
          </w:tcPr>
          <w:p w14:paraId="090BA38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蜡块</w:t>
            </w:r>
          </w:p>
        </w:tc>
        <w:tc>
          <w:tcPr>
            <w:tcW w:w="930" w:type="dxa"/>
            <w:shd w:val="clear" w:color="auto" w:fill="auto"/>
            <w:vAlign w:val="center"/>
          </w:tcPr>
          <w:p w14:paraId="401837C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10个工作日</w:t>
            </w:r>
          </w:p>
        </w:tc>
        <w:tc>
          <w:tcPr>
            <w:tcW w:w="1253" w:type="dxa"/>
            <w:shd w:val="clear" w:color="auto" w:fill="auto"/>
            <w:vAlign w:val="center"/>
          </w:tcPr>
          <w:p w14:paraId="5FACE20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病理协诊、确诊</w:t>
            </w:r>
          </w:p>
        </w:tc>
        <w:tc>
          <w:tcPr>
            <w:tcW w:w="1227" w:type="dxa"/>
            <w:shd w:val="clear" w:color="auto" w:fill="auto"/>
            <w:vAlign w:val="center"/>
          </w:tcPr>
          <w:p w14:paraId="17A256C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270700003</w:t>
            </w:r>
          </w:p>
        </w:tc>
        <w:tc>
          <w:tcPr>
            <w:tcW w:w="919" w:type="dxa"/>
            <w:shd w:val="clear" w:color="auto" w:fill="auto"/>
            <w:vAlign w:val="center"/>
          </w:tcPr>
          <w:p w14:paraId="0F96945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400</w:t>
            </w:r>
          </w:p>
        </w:tc>
      </w:tr>
      <w:tr w14:paraId="68AA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670" w:type="dxa"/>
            <w:vMerge w:val="restart"/>
            <w:shd w:val="clear" w:color="auto" w:fill="auto"/>
            <w:vAlign w:val="center"/>
          </w:tcPr>
          <w:p w14:paraId="4423068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14</w:t>
            </w:r>
          </w:p>
        </w:tc>
        <w:tc>
          <w:tcPr>
            <w:tcW w:w="1104" w:type="dxa"/>
            <w:vMerge w:val="restart"/>
            <w:shd w:val="clear" w:color="auto" w:fill="auto"/>
            <w:vAlign w:val="center"/>
          </w:tcPr>
          <w:p w14:paraId="7852B90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内镜组织活检检查与诊断（1个蜡块）</w:t>
            </w:r>
          </w:p>
        </w:tc>
        <w:tc>
          <w:tcPr>
            <w:tcW w:w="1040" w:type="dxa"/>
            <w:vMerge w:val="restart"/>
            <w:shd w:val="clear" w:color="auto" w:fill="auto"/>
            <w:vAlign w:val="center"/>
          </w:tcPr>
          <w:p w14:paraId="39C6D1C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594EF6C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用10%中性缓冲福尔马林固定至少6-24小时。</w:t>
            </w:r>
          </w:p>
        </w:tc>
        <w:tc>
          <w:tcPr>
            <w:tcW w:w="930" w:type="dxa"/>
            <w:vMerge w:val="restart"/>
            <w:shd w:val="clear" w:color="auto" w:fill="auto"/>
            <w:vAlign w:val="center"/>
          </w:tcPr>
          <w:p w14:paraId="3FB564D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3个工作日</w:t>
            </w:r>
          </w:p>
        </w:tc>
        <w:tc>
          <w:tcPr>
            <w:tcW w:w="1253" w:type="dxa"/>
            <w:vMerge w:val="restart"/>
            <w:shd w:val="clear" w:color="auto" w:fill="auto"/>
            <w:vAlign w:val="center"/>
          </w:tcPr>
          <w:p w14:paraId="1BF05FB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对临床病变组织、器官的鉴定和分型。</w:t>
            </w:r>
          </w:p>
        </w:tc>
        <w:tc>
          <w:tcPr>
            <w:tcW w:w="1227" w:type="dxa"/>
            <w:shd w:val="clear" w:color="auto" w:fill="auto"/>
            <w:vAlign w:val="center"/>
          </w:tcPr>
          <w:p w14:paraId="7915970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270300002</w:t>
            </w:r>
          </w:p>
        </w:tc>
        <w:tc>
          <w:tcPr>
            <w:tcW w:w="919" w:type="dxa"/>
            <w:vMerge w:val="restart"/>
            <w:shd w:val="clear" w:color="auto" w:fill="auto"/>
            <w:vAlign w:val="center"/>
          </w:tcPr>
          <w:p w14:paraId="3C3F6E5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167</w:t>
            </w:r>
          </w:p>
        </w:tc>
      </w:tr>
      <w:tr w14:paraId="22A6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5EFD5952">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62B8B42B">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6051271D">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3D668740">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599CFCFC">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5C54311F">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29E93A6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11A89C7A">
            <w:pPr>
              <w:spacing w:line="240" w:lineRule="auto"/>
              <w:ind w:firstLine="0" w:firstLineChars="0"/>
              <w:jc w:val="center"/>
              <w:rPr>
                <w:rFonts w:hint="eastAsia" w:ascii="仿宋" w:hAnsi="仿宋" w:eastAsia="仿宋" w:cs="仿宋"/>
                <w:i w:val="0"/>
                <w:iCs w:val="0"/>
                <w:color w:val="auto"/>
                <w:sz w:val="20"/>
                <w:szCs w:val="20"/>
                <w:u w:val="none"/>
              </w:rPr>
            </w:pPr>
          </w:p>
        </w:tc>
      </w:tr>
      <w:tr w14:paraId="30BF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40EEE635">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4D17BF56">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7C8D086C">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480AF7AE">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1C11F5F1">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7E04B7FE">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7A33C98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2703-b</w:t>
            </w:r>
          </w:p>
        </w:tc>
        <w:tc>
          <w:tcPr>
            <w:tcW w:w="919" w:type="dxa"/>
            <w:vMerge w:val="continue"/>
            <w:shd w:val="clear" w:color="auto" w:fill="auto"/>
            <w:vAlign w:val="center"/>
          </w:tcPr>
          <w:p w14:paraId="5991118F">
            <w:pPr>
              <w:spacing w:line="240" w:lineRule="auto"/>
              <w:ind w:firstLine="0" w:firstLineChars="0"/>
              <w:jc w:val="center"/>
              <w:rPr>
                <w:rFonts w:hint="eastAsia" w:ascii="仿宋" w:hAnsi="仿宋" w:eastAsia="仿宋" w:cs="仿宋"/>
                <w:i w:val="0"/>
                <w:iCs w:val="0"/>
                <w:color w:val="auto"/>
                <w:sz w:val="20"/>
                <w:szCs w:val="20"/>
                <w:u w:val="none"/>
              </w:rPr>
            </w:pPr>
          </w:p>
        </w:tc>
      </w:tr>
      <w:tr w14:paraId="034C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70" w:type="dxa"/>
            <w:vMerge w:val="restart"/>
            <w:shd w:val="clear" w:color="auto" w:fill="auto"/>
            <w:vAlign w:val="center"/>
          </w:tcPr>
          <w:p w14:paraId="37378E4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15</w:t>
            </w:r>
          </w:p>
        </w:tc>
        <w:tc>
          <w:tcPr>
            <w:tcW w:w="1104" w:type="dxa"/>
            <w:vMerge w:val="restart"/>
            <w:shd w:val="clear" w:color="auto" w:fill="auto"/>
            <w:vAlign w:val="center"/>
          </w:tcPr>
          <w:p w14:paraId="77CA775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内镜组织活检检查与诊断（2个蜡块）</w:t>
            </w:r>
          </w:p>
        </w:tc>
        <w:tc>
          <w:tcPr>
            <w:tcW w:w="1040" w:type="dxa"/>
            <w:vMerge w:val="restart"/>
            <w:shd w:val="clear" w:color="auto" w:fill="auto"/>
            <w:vAlign w:val="center"/>
          </w:tcPr>
          <w:p w14:paraId="3B3668E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5E75AAA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用10%中性缓冲福尔马林固定至少6-24小时。</w:t>
            </w:r>
          </w:p>
        </w:tc>
        <w:tc>
          <w:tcPr>
            <w:tcW w:w="930" w:type="dxa"/>
            <w:vMerge w:val="restart"/>
            <w:shd w:val="clear" w:color="auto" w:fill="auto"/>
            <w:vAlign w:val="center"/>
          </w:tcPr>
          <w:p w14:paraId="5D82662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3个工作日</w:t>
            </w:r>
          </w:p>
        </w:tc>
        <w:tc>
          <w:tcPr>
            <w:tcW w:w="1253" w:type="dxa"/>
            <w:vMerge w:val="restart"/>
            <w:shd w:val="clear" w:color="auto" w:fill="auto"/>
            <w:vAlign w:val="center"/>
          </w:tcPr>
          <w:p w14:paraId="5FA825C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对临床病变组织、器官的鉴定和分型。</w:t>
            </w:r>
          </w:p>
        </w:tc>
        <w:tc>
          <w:tcPr>
            <w:tcW w:w="1227" w:type="dxa"/>
            <w:shd w:val="clear" w:color="auto" w:fill="auto"/>
            <w:vAlign w:val="center"/>
          </w:tcPr>
          <w:p w14:paraId="6C3DB7E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270300002</w:t>
            </w:r>
          </w:p>
        </w:tc>
        <w:tc>
          <w:tcPr>
            <w:tcW w:w="919" w:type="dxa"/>
            <w:vMerge w:val="restart"/>
            <w:shd w:val="clear" w:color="auto" w:fill="auto"/>
            <w:vAlign w:val="center"/>
          </w:tcPr>
          <w:p w14:paraId="149A299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182</w:t>
            </w:r>
          </w:p>
        </w:tc>
      </w:tr>
      <w:tr w14:paraId="6AE2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66E0C0C3">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77A57D57">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60835EBC">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1D9BF3B6">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60FBE715">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3705D68C">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1F2AD47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29537EFB">
            <w:pPr>
              <w:spacing w:line="240" w:lineRule="auto"/>
              <w:ind w:firstLine="0" w:firstLineChars="0"/>
              <w:jc w:val="center"/>
              <w:rPr>
                <w:rFonts w:hint="eastAsia" w:ascii="仿宋" w:hAnsi="仿宋" w:eastAsia="仿宋" w:cs="仿宋"/>
                <w:i w:val="0"/>
                <w:iCs w:val="0"/>
                <w:color w:val="auto"/>
                <w:sz w:val="20"/>
                <w:szCs w:val="20"/>
                <w:u w:val="none"/>
              </w:rPr>
            </w:pPr>
          </w:p>
        </w:tc>
      </w:tr>
      <w:tr w14:paraId="07A7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00A5A53D">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546958CB">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774F03E0">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2E21CC7C">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4CD688E9">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76B582FF">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01651A8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2703-b*2</w:t>
            </w:r>
          </w:p>
        </w:tc>
        <w:tc>
          <w:tcPr>
            <w:tcW w:w="919" w:type="dxa"/>
            <w:vMerge w:val="continue"/>
            <w:shd w:val="clear" w:color="auto" w:fill="auto"/>
            <w:vAlign w:val="center"/>
          </w:tcPr>
          <w:p w14:paraId="32CCF9F4">
            <w:pPr>
              <w:spacing w:line="240" w:lineRule="auto"/>
              <w:ind w:firstLine="0" w:firstLineChars="0"/>
              <w:jc w:val="center"/>
              <w:rPr>
                <w:rFonts w:hint="eastAsia" w:ascii="仿宋" w:hAnsi="仿宋" w:eastAsia="仿宋" w:cs="仿宋"/>
                <w:i w:val="0"/>
                <w:iCs w:val="0"/>
                <w:color w:val="auto"/>
                <w:sz w:val="20"/>
                <w:szCs w:val="20"/>
                <w:u w:val="none"/>
              </w:rPr>
            </w:pPr>
          </w:p>
        </w:tc>
      </w:tr>
      <w:tr w14:paraId="04D2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0" w:type="dxa"/>
            <w:vMerge w:val="restart"/>
            <w:shd w:val="clear" w:color="auto" w:fill="auto"/>
            <w:vAlign w:val="center"/>
          </w:tcPr>
          <w:p w14:paraId="4303079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16</w:t>
            </w:r>
          </w:p>
        </w:tc>
        <w:tc>
          <w:tcPr>
            <w:tcW w:w="1104" w:type="dxa"/>
            <w:vMerge w:val="restart"/>
            <w:shd w:val="clear" w:color="auto" w:fill="auto"/>
            <w:vAlign w:val="center"/>
          </w:tcPr>
          <w:p w14:paraId="3BE7F11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内镜组织活检检查与诊断（3个蜡块）</w:t>
            </w:r>
          </w:p>
        </w:tc>
        <w:tc>
          <w:tcPr>
            <w:tcW w:w="1040" w:type="dxa"/>
            <w:vMerge w:val="restart"/>
            <w:shd w:val="clear" w:color="auto" w:fill="auto"/>
            <w:vAlign w:val="center"/>
          </w:tcPr>
          <w:p w14:paraId="22E7816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1DEEF7C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用10%中性缓冲福尔马林固定至少6-24小时。</w:t>
            </w:r>
          </w:p>
        </w:tc>
        <w:tc>
          <w:tcPr>
            <w:tcW w:w="930" w:type="dxa"/>
            <w:vMerge w:val="restart"/>
            <w:shd w:val="clear" w:color="auto" w:fill="auto"/>
            <w:vAlign w:val="center"/>
          </w:tcPr>
          <w:p w14:paraId="7103BF2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3个工作日</w:t>
            </w:r>
          </w:p>
        </w:tc>
        <w:tc>
          <w:tcPr>
            <w:tcW w:w="1253" w:type="dxa"/>
            <w:vMerge w:val="restart"/>
            <w:shd w:val="clear" w:color="auto" w:fill="auto"/>
            <w:vAlign w:val="center"/>
          </w:tcPr>
          <w:p w14:paraId="2CF0B7B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对临床病变组织、器官的鉴定和分型。</w:t>
            </w:r>
          </w:p>
        </w:tc>
        <w:tc>
          <w:tcPr>
            <w:tcW w:w="1227" w:type="dxa"/>
            <w:shd w:val="clear" w:color="auto" w:fill="auto"/>
            <w:vAlign w:val="center"/>
          </w:tcPr>
          <w:p w14:paraId="0F392CF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 xml:space="preserve">270300002 </w:t>
            </w:r>
            <w:r>
              <w:rPr>
                <w:rStyle w:val="19"/>
                <w:rFonts w:hint="eastAsia" w:ascii="仿宋" w:hAnsi="仿宋" w:eastAsia="仿宋" w:cs="仿宋"/>
                <w:bCs/>
                <w:color w:val="auto"/>
                <w:lang w:val="en-US" w:eastAsia="zh-CN" w:bidi="ar"/>
              </w:rPr>
              <w:t xml:space="preserve">  270800004</w:t>
            </w:r>
          </w:p>
        </w:tc>
        <w:tc>
          <w:tcPr>
            <w:tcW w:w="919" w:type="dxa"/>
            <w:vMerge w:val="restart"/>
            <w:shd w:val="clear" w:color="auto" w:fill="auto"/>
            <w:vAlign w:val="center"/>
          </w:tcPr>
          <w:p w14:paraId="105BB64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207</w:t>
            </w:r>
          </w:p>
        </w:tc>
      </w:tr>
      <w:tr w14:paraId="72B8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3768F291">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3120391F">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680E0F53">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13AD0FB4">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0AD00152">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194B739D">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6DA70B3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270300002-a</w:t>
            </w:r>
          </w:p>
        </w:tc>
        <w:tc>
          <w:tcPr>
            <w:tcW w:w="919" w:type="dxa"/>
            <w:vMerge w:val="continue"/>
            <w:shd w:val="clear" w:color="auto" w:fill="auto"/>
            <w:vAlign w:val="center"/>
          </w:tcPr>
          <w:p w14:paraId="6D99B699">
            <w:pPr>
              <w:spacing w:line="240" w:lineRule="auto"/>
              <w:ind w:firstLine="0" w:firstLineChars="0"/>
              <w:jc w:val="center"/>
              <w:rPr>
                <w:rFonts w:hint="eastAsia" w:ascii="仿宋" w:hAnsi="仿宋" w:eastAsia="仿宋" w:cs="仿宋"/>
                <w:i w:val="0"/>
                <w:iCs w:val="0"/>
                <w:color w:val="auto"/>
                <w:sz w:val="20"/>
                <w:szCs w:val="20"/>
                <w:u w:val="none"/>
              </w:rPr>
            </w:pPr>
          </w:p>
        </w:tc>
      </w:tr>
      <w:tr w14:paraId="13A9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141CED20">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70D808BB">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1F7DC0FC">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21D41E8A">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3044D8C6">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56770C8C">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0D35328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2703-b*3</w:t>
            </w:r>
          </w:p>
        </w:tc>
        <w:tc>
          <w:tcPr>
            <w:tcW w:w="919" w:type="dxa"/>
            <w:vMerge w:val="continue"/>
            <w:shd w:val="clear" w:color="auto" w:fill="auto"/>
            <w:vAlign w:val="center"/>
          </w:tcPr>
          <w:p w14:paraId="1BE393E7">
            <w:pPr>
              <w:spacing w:line="240" w:lineRule="auto"/>
              <w:ind w:firstLine="0" w:firstLineChars="0"/>
              <w:jc w:val="center"/>
              <w:rPr>
                <w:rFonts w:hint="eastAsia" w:ascii="仿宋" w:hAnsi="仿宋" w:eastAsia="仿宋" w:cs="仿宋"/>
                <w:i w:val="0"/>
                <w:iCs w:val="0"/>
                <w:color w:val="auto"/>
                <w:sz w:val="20"/>
                <w:szCs w:val="20"/>
                <w:u w:val="none"/>
              </w:rPr>
            </w:pPr>
          </w:p>
        </w:tc>
      </w:tr>
      <w:tr w14:paraId="7603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0" w:type="dxa"/>
            <w:vMerge w:val="restart"/>
            <w:shd w:val="clear" w:color="auto" w:fill="auto"/>
            <w:vAlign w:val="center"/>
          </w:tcPr>
          <w:p w14:paraId="14F9ADA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17</w:t>
            </w:r>
          </w:p>
        </w:tc>
        <w:tc>
          <w:tcPr>
            <w:tcW w:w="1104" w:type="dxa"/>
            <w:vMerge w:val="restart"/>
            <w:shd w:val="clear" w:color="auto" w:fill="auto"/>
            <w:vAlign w:val="center"/>
          </w:tcPr>
          <w:p w14:paraId="32820AF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内镜组织活检检查与诊断（4个蜡块）</w:t>
            </w:r>
          </w:p>
        </w:tc>
        <w:tc>
          <w:tcPr>
            <w:tcW w:w="1040" w:type="dxa"/>
            <w:vMerge w:val="restart"/>
            <w:shd w:val="clear" w:color="auto" w:fill="auto"/>
            <w:vAlign w:val="center"/>
          </w:tcPr>
          <w:p w14:paraId="6C1E2B1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498620E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用10%中性缓冲福尔马林固定至少6-24小时。</w:t>
            </w:r>
          </w:p>
        </w:tc>
        <w:tc>
          <w:tcPr>
            <w:tcW w:w="930" w:type="dxa"/>
            <w:vMerge w:val="restart"/>
            <w:shd w:val="clear" w:color="auto" w:fill="auto"/>
            <w:vAlign w:val="center"/>
          </w:tcPr>
          <w:p w14:paraId="10E5948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3个工作日</w:t>
            </w:r>
          </w:p>
        </w:tc>
        <w:tc>
          <w:tcPr>
            <w:tcW w:w="1253" w:type="dxa"/>
            <w:vMerge w:val="restart"/>
            <w:shd w:val="clear" w:color="auto" w:fill="auto"/>
            <w:vAlign w:val="center"/>
          </w:tcPr>
          <w:p w14:paraId="1B2D676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对临床病变组织、器官的鉴定和分型。</w:t>
            </w:r>
          </w:p>
        </w:tc>
        <w:tc>
          <w:tcPr>
            <w:tcW w:w="1227" w:type="dxa"/>
            <w:shd w:val="clear" w:color="auto" w:fill="auto"/>
            <w:vAlign w:val="center"/>
          </w:tcPr>
          <w:p w14:paraId="51ED854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 xml:space="preserve">270300002 </w:t>
            </w:r>
            <w:r>
              <w:rPr>
                <w:rStyle w:val="19"/>
                <w:rFonts w:hint="eastAsia" w:ascii="仿宋" w:hAnsi="仿宋" w:eastAsia="仿宋" w:cs="仿宋"/>
                <w:bCs/>
                <w:color w:val="auto"/>
                <w:lang w:val="en-US" w:eastAsia="zh-CN" w:bidi="ar"/>
              </w:rPr>
              <w:t xml:space="preserve">  270800004</w:t>
            </w:r>
          </w:p>
        </w:tc>
        <w:tc>
          <w:tcPr>
            <w:tcW w:w="919" w:type="dxa"/>
            <w:vMerge w:val="restart"/>
            <w:shd w:val="clear" w:color="auto" w:fill="auto"/>
            <w:vAlign w:val="center"/>
          </w:tcPr>
          <w:p w14:paraId="78C3B1A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232</w:t>
            </w:r>
          </w:p>
        </w:tc>
      </w:tr>
      <w:tr w14:paraId="42DC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0" w:type="dxa"/>
            <w:vMerge w:val="continue"/>
            <w:shd w:val="clear" w:color="auto" w:fill="auto"/>
            <w:vAlign w:val="center"/>
          </w:tcPr>
          <w:p w14:paraId="73616FD6">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0173F1AB">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0CBD3786">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0D56A5BC">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254F6743">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6BA0C426">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11644FD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270300002-a*2</w:t>
            </w:r>
          </w:p>
        </w:tc>
        <w:tc>
          <w:tcPr>
            <w:tcW w:w="919" w:type="dxa"/>
            <w:vMerge w:val="continue"/>
            <w:shd w:val="clear" w:color="auto" w:fill="auto"/>
            <w:vAlign w:val="center"/>
          </w:tcPr>
          <w:p w14:paraId="28C03312">
            <w:pPr>
              <w:spacing w:line="240" w:lineRule="auto"/>
              <w:ind w:firstLine="0" w:firstLineChars="0"/>
              <w:jc w:val="center"/>
              <w:rPr>
                <w:rFonts w:hint="eastAsia" w:ascii="仿宋" w:hAnsi="仿宋" w:eastAsia="仿宋" w:cs="仿宋"/>
                <w:i w:val="0"/>
                <w:iCs w:val="0"/>
                <w:color w:val="auto"/>
                <w:sz w:val="20"/>
                <w:szCs w:val="20"/>
                <w:u w:val="none"/>
              </w:rPr>
            </w:pPr>
          </w:p>
        </w:tc>
      </w:tr>
      <w:tr w14:paraId="695C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670" w:type="dxa"/>
            <w:vMerge w:val="continue"/>
            <w:shd w:val="clear" w:color="auto" w:fill="auto"/>
            <w:vAlign w:val="center"/>
          </w:tcPr>
          <w:p w14:paraId="2CD1424E">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1FBB3ACC">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17B0B37F">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6BDF664E">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43C0541A">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1A85F1BC">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26BD51A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2703-b*4</w:t>
            </w:r>
          </w:p>
        </w:tc>
        <w:tc>
          <w:tcPr>
            <w:tcW w:w="919" w:type="dxa"/>
            <w:vMerge w:val="continue"/>
            <w:shd w:val="clear" w:color="auto" w:fill="auto"/>
            <w:vAlign w:val="center"/>
          </w:tcPr>
          <w:p w14:paraId="73730336">
            <w:pPr>
              <w:spacing w:line="240" w:lineRule="auto"/>
              <w:ind w:firstLine="0" w:firstLineChars="0"/>
              <w:jc w:val="center"/>
              <w:rPr>
                <w:rFonts w:hint="eastAsia" w:ascii="仿宋" w:hAnsi="仿宋" w:eastAsia="仿宋" w:cs="仿宋"/>
                <w:i w:val="0"/>
                <w:iCs w:val="0"/>
                <w:color w:val="auto"/>
                <w:sz w:val="20"/>
                <w:szCs w:val="20"/>
                <w:u w:val="none"/>
              </w:rPr>
            </w:pPr>
          </w:p>
        </w:tc>
      </w:tr>
      <w:tr w14:paraId="408B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5" w:hRule="atLeast"/>
        </w:trPr>
        <w:tc>
          <w:tcPr>
            <w:tcW w:w="670" w:type="dxa"/>
            <w:shd w:val="clear" w:color="auto" w:fill="auto"/>
            <w:vAlign w:val="center"/>
          </w:tcPr>
          <w:p w14:paraId="49FB5BF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18</w:t>
            </w:r>
          </w:p>
        </w:tc>
        <w:tc>
          <w:tcPr>
            <w:tcW w:w="1104" w:type="dxa"/>
            <w:shd w:val="clear" w:color="auto" w:fill="auto"/>
            <w:vAlign w:val="center"/>
          </w:tcPr>
          <w:p w14:paraId="251A2BB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全自动免疫组化</w:t>
            </w:r>
          </w:p>
        </w:tc>
        <w:tc>
          <w:tcPr>
            <w:tcW w:w="1040" w:type="dxa"/>
            <w:shd w:val="clear" w:color="auto" w:fill="auto"/>
            <w:vAlign w:val="center"/>
          </w:tcPr>
          <w:p w14:paraId="0D9898A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免疫组织化学染色全自动单独温控法</w:t>
            </w:r>
          </w:p>
        </w:tc>
        <w:tc>
          <w:tcPr>
            <w:tcW w:w="1564" w:type="dxa"/>
            <w:shd w:val="clear" w:color="auto" w:fill="auto"/>
            <w:vAlign w:val="center"/>
          </w:tcPr>
          <w:p w14:paraId="2E022C8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10% 中性缓冲福尔马林固定的活体标本；病理涂胶白片；组织蜡块</w:t>
            </w:r>
          </w:p>
        </w:tc>
        <w:tc>
          <w:tcPr>
            <w:tcW w:w="930" w:type="dxa"/>
            <w:shd w:val="clear" w:color="auto" w:fill="auto"/>
            <w:vAlign w:val="center"/>
          </w:tcPr>
          <w:p w14:paraId="7DE1B9A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shd w:val="clear" w:color="auto" w:fill="auto"/>
            <w:vAlign w:val="center"/>
          </w:tcPr>
          <w:p w14:paraId="3B998B1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病理会诊、确诊</w:t>
            </w:r>
          </w:p>
        </w:tc>
        <w:tc>
          <w:tcPr>
            <w:tcW w:w="1227" w:type="dxa"/>
            <w:shd w:val="clear" w:color="auto" w:fill="auto"/>
            <w:vAlign w:val="center"/>
          </w:tcPr>
          <w:p w14:paraId="0B17BC9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270500002-a</w:t>
            </w:r>
          </w:p>
        </w:tc>
        <w:tc>
          <w:tcPr>
            <w:tcW w:w="919" w:type="dxa"/>
            <w:shd w:val="clear" w:color="auto" w:fill="auto"/>
            <w:vAlign w:val="center"/>
          </w:tcPr>
          <w:p w14:paraId="54C1E70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150/ 项</w:t>
            </w:r>
          </w:p>
        </w:tc>
      </w:tr>
      <w:tr w14:paraId="1437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670" w:type="dxa"/>
            <w:shd w:val="clear" w:color="auto" w:fill="auto"/>
            <w:vAlign w:val="center"/>
          </w:tcPr>
          <w:p w14:paraId="5B4F3BC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19</w:t>
            </w:r>
          </w:p>
        </w:tc>
        <w:tc>
          <w:tcPr>
            <w:tcW w:w="1104" w:type="dxa"/>
            <w:shd w:val="clear" w:color="auto" w:fill="auto"/>
            <w:vAlign w:val="center"/>
          </w:tcPr>
          <w:p w14:paraId="68B6A1F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乳腺癌精准诊疗Mini套餐（FFPE） （21基因+MSI）</w:t>
            </w:r>
          </w:p>
        </w:tc>
        <w:tc>
          <w:tcPr>
            <w:tcW w:w="1040" w:type="dxa"/>
            <w:shd w:val="clear" w:color="auto" w:fill="auto"/>
            <w:vAlign w:val="center"/>
          </w:tcPr>
          <w:p w14:paraId="3547DFE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NGS</w:t>
            </w:r>
          </w:p>
        </w:tc>
        <w:tc>
          <w:tcPr>
            <w:tcW w:w="1564" w:type="dxa"/>
            <w:shd w:val="clear" w:color="auto" w:fill="auto"/>
            <w:vAlign w:val="center"/>
          </w:tcPr>
          <w:p w14:paraId="27112A7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不超过1年的蜡块或10-15张5-6μm厚白片或蜡卷（附H&amp;E片一张）</w:t>
            </w:r>
          </w:p>
        </w:tc>
        <w:tc>
          <w:tcPr>
            <w:tcW w:w="930" w:type="dxa"/>
            <w:shd w:val="clear" w:color="auto" w:fill="auto"/>
            <w:vAlign w:val="center"/>
          </w:tcPr>
          <w:p w14:paraId="28931E3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7个工作日</w:t>
            </w:r>
          </w:p>
        </w:tc>
        <w:tc>
          <w:tcPr>
            <w:tcW w:w="1253" w:type="dxa"/>
            <w:shd w:val="clear" w:color="auto" w:fill="auto"/>
            <w:vAlign w:val="center"/>
          </w:tcPr>
          <w:p w14:paraId="469EF9B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指导乳腺癌靶向治疗、免疫治疗、分子分型和预后评估</w:t>
            </w:r>
          </w:p>
        </w:tc>
        <w:tc>
          <w:tcPr>
            <w:tcW w:w="1227" w:type="dxa"/>
            <w:shd w:val="clear" w:color="auto" w:fill="auto"/>
            <w:vAlign w:val="center"/>
          </w:tcPr>
          <w:p w14:paraId="188673D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270700003*7</w:t>
            </w:r>
          </w:p>
        </w:tc>
        <w:tc>
          <w:tcPr>
            <w:tcW w:w="919" w:type="dxa"/>
            <w:shd w:val="clear" w:color="auto" w:fill="auto"/>
            <w:vAlign w:val="center"/>
          </w:tcPr>
          <w:p w14:paraId="76F1630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2800</w:t>
            </w:r>
          </w:p>
        </w:tc>
      </w:tr>
      <w:tr w14:paraId="601C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restart"/>
            <w:shd w:val="clear" w:color="auto" w:fill="auto"/>
            <w:vAlign w:val="center"/>
          </w:tcPr>
          <w:p w14:paraId="54EF2B1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20</w:t>
            </w:r>
          </w:p>
        </w:tc>
        <w:tc>
          <w:tcPr>
            <w:tcW w:w="1104" w:type="dxa"/>
            <w:vMerge w:val="restart"/>
            <w:shd w:val="clear" w:color="auto" w:fill="auto"/>
            <w:vAlign w:val="center"/>
          </w:tcPr>
          <w:p w14:paraId="03542C7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肾脏全套电镜检查与诊断</w:t>
            </w:r>
          </w:p>
        </w:tc>
        <w:tc>
          <w:tcPr>
            <w:tcW w:w="1040" w:type="dxa"/>
            <w:vMerge w:val="restart"/>
            <w:shd w:val="clear" w:color="auto" w:fill="auto"/>
            <w:vAlign w:val="center"/>
          </w:tcPr>
          <w:p w14:paraId="7174192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普通透射电镜</w:t>
            </w:r>
          </w:p>
        </w:tc>
        <w:tc>
          <w:tcPr>
            <w:tcW w:w="1564" w:type="dxa"/>
            <w:vMerge w:val="restart"/>
            <w:shd w:val="clear" w:color="auto" w:fill="auto"/>
            <w:vAlign w:val="center"/>
          </w:tcPr>
          <w:p w14:paraId="3C992C2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肾穿刺组织</w:t>
            </w:r>
          </w:p>
        </w:tc>
        <w:tc>
          <w:tcPr>
            <w:tcW w:w="930" w:type="dxa"/>
            <w:vMerge w:val="restart"/>
            <w:shd w:val="clear" w:color="auto" w:fill="auto"/>
            <w:vAlign w:val="center"/>
          </w:tcPr>
          <w:p w14:paraId="748A4CC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2个工作日</w:t>
            </w:r>
          </w:p>
        </w:tc>
        <w:tc>
          <w:tcPr>
            <w:tcW w:w="1253" w:type="dxa"/>
            <w:vMerge w:val="restart"/>
            <w:shd w:val="clear" w:color="auto" w:fill="auto"/>
            <w:vAlign w:val="center"/>
          </w:tcPr>
          <w:p w14:paraId="167B7CA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肾脏疾病的病理诊断</w:t>
            </w:r>
          </w:p>
        </w:tc>
        <w:tc>
          <w:tcPr>
            <w:tcW w:w="1227" w:type="dxa"/>
            <w:shd w:val="clear" w:color="auto" w:fill="auto"/>
            <w:vAlign w:val="center"/>
          </w:tcPr>
          <w:p w14:paraId="0F41932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270600001</w:t>
            </w:r>
          </w:p>
        </w:tc>
        <w:tc>
          <w:tcPr>
            <w:tcW w:w="919" w:type="dxa"/>
            <w:vMerge w:val="restart"/>
            <w:shd w:val="clear" w:color="auto" w:fill="auto"/>
            <w:vAlign w:val="center"/>
          </w:tcPr>
          <w:p w14:paraId="4EC0136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330</w:t>
            </w:r>
          </w:p>
        </w:tc>
      </w:tr>
      <w:tr w14:paraId="760D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76A59344">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71E5AF67">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0EE31436">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3A63EA86">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67A483D4">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03FD8DF6">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1623C66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27080004</w:t>
            </w:r>
          </w:p>
        </w:tc>
        <w:tc>
          <w:tcPr>
            <w:tcW w:w="919" w:type="dxa"/>
            <w:vMerge w:val="continue"/>
            <w:shd w:val="clear" w:color="auto" w:fill="auto"/>
            <w:vAlign w:val="center"/>
          </w:tcPr>
          <w:p w14:paraId="7748BA43">
            <w:pPr>
              <w:spacing w:line="240" w:lineRule="auto"/>
              <w:ind w:firstLine="0" w:firstLineChars="0"/>
              <w:jc w:val="center"/>
              <w:rPr>
                <w:rFonts w:hint="eastAsia" w:ascii="仿宋" w:hAnsi="仿宋" w:eastAsia="仿宋" w:cs="仿宋"/>
                <w:i w:val="0"/>
                <w:iCs w:val="0"/>
                <w:color w:val="auto"/>
                <w:sz w:val="20"/>
                <w:szCs w:val="20"/>
                <w:u w:val="none"/>
              </w:rPr>
            </w:pPr>
          </w:p>
        </w:tc>
      </w:tr>
      <w:tr w14:paraId="1082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restart"/>
            <w:shd w:val="clear" w:color="auto" w:fill="auto"/>
            <w:vAlign w:val="center"/>
          </w:tcPr>
          <w:p w14:paraId="38891FD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21</w:t>
            </w:r>
          </w:p>
        </w:tc>
        <w:tc>
          <w:tcPr>
            <w:tcW w:w="1104" w:type="dxa"/>
            <w:vMerge w:val="restart"/>
            <w:shd w:val="clear" w:color="auto" w:fill="auto"/>
            <w:vAlign w:val="center"/>
          </w:tcPr>
          <w:p w14:paraId="1F63B57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手术标本检查与诊断（1个蜡块）</w:t>
            </w:r>
          </w:p>
        </w:tc>
        <w:tc>
          <w:tcPr>
            <w:tcW w:w="1040" w:type="dxa"/>
            <w:vMerge w:val="restart"/>
            <w:shd w:val="clear" w:color="auto" w:fill="auto"/>
            <w:vAlign w:val="center"/>
          </w:tcPr>
          <w:p w14:paraId="22AE1A6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55AAE55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用10%中性缓冲福尔马林固定至少6-24小时。</w:t>
            </w:r>
          </w:p>
        </w:tc>
        <w:tc>
          <w:tcPr>
            <w:tcW w:w="930" w:type="dxa"/>
            <w:vMerge w:val="restart"/>
            <w:shd w:val="clear" w:color="auto" w:fill="auto"/>
            <w:vAlign w:val="center"/>
          </w:tcPr>
          <w:p w14:paraId="1049465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vMerge w:val="restart"/>
            <w:shd w:val="clear" w:color="auto" w:fill="auto"/>
            <w:vAlign w:val="center"/>
          </w:tcPr>
          <w:p w14:paraId="1B1A5CB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对临床病变组织、器官的鉴定和分型</w:t>
            </w:r>
          </w:p>
        </w:tc>
        <w:tc>
          <w:tcPr>
            <w:tcW w:w="1227" w:type="dxa"/>
            <w:shd w:val="clear" w:color="auto" w:fill="auto"/>
            <w:vAlign w:val="center"/>
          </w:tcPr>
          <w:p w14:paraId="2BDD4D9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270300005</w:t>
            </w:r>
          </w:p>
        </w:tc>
        <w:tc>
          <w:tcPr>
            <w:tcW w:w="919" w:type="dxa"/>
            <w:vMerge w:val="restart"/>
            <w:shd w:val="clear" w:color="auto" w:fill="auto"/>
            <w:vAlign w:val="center"/>
          </w:tcPr>
          <w:p w14:paraId="1913BA8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205</w:t>
            </w:r>
          </w:p>
        </w:tc>
      </w:tr>
      <w:tr w14:paraId="1E8A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543EA75F">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0F596083">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3FA7D888">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0A3951BE">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6C864A7E">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1A18E586">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52CC3BB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38907B75">
            <w:pPr>
              <w:spacing w:line="240" w:lineRule="auto"/>
              <w:ind w:firstLine="0" w:firstLineChars="0"/>
              <w:jc w:val="center"/>
              <w:rPr>
                <w:rFonts w:hint="eastAsia" w:ascii="仿宋" w:hAnsi="仿宋" w:eastAsia="仿宋" w:cs="仿宋"/>
                <w:i w:val="0"/>
                <w:iCs w:val="0"/>
                <w:color w:val="auto"/>
                <w:sz w:val="20"/>
                <w:szCs w:val="20"/>
                <w:u w:val="none"/>
              </w:rPr>
            </w:pPr>
          </w:p>
        </w:tc>
      </w:tr>
      <w:tr w14:paraId="5FC6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14AF05CC">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596B76C1">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46CD0045">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07A84E76">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2E85B18B">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652557B1">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1B53E13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2703-b</w:t>
            </w:r>
          </w:p>
        </w:tc>
        <w:tc>
          <w:tcPr>
            <w:tcW w:w="919" w:type="dxa"/>
            <w:vMerge w:val="continue"/>
            <w:shd w:val="clear" w:color="auto" w:fill="auto"/>
            <w:vAlign w:val="center"/>
          </w:tcPr>
          <w:p w14:paraId="0E726DE0">
            <w:pPr>
              <w:spacing w:line="240" w:lineRule="auto"/>
              <w:ind w:firstLine="0" w:firstLineChars="0"/>
              <w:jc w:val="center"/>
              <w:rPr>
                <w:rFonts w:hint="eastAsia" w:ascii="仿宋" w:hAnsi="仿宋" w:eastAsia="仿宋" w:cs="仿宋"/>
                <w:i w:val="0"/>
                <w:iCs w:val="0"/>
                <w:color w:val="auto"/>
                <w:sz w:val="20"/>
                <w:szCs w:val="20"/>
                <w:u w:val="none"/>
              </w:rPr>
            </w:pPr>
          </w:p>
        </w:tc>
      </w:tr>
      <w:tr w14:paraId="723F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restart"/>
            <w:shd w:val="clear" w:color="auto" w:fill="auto"/>
            <w:vAlign w:val="center"/>
          </w:tcPr>
          <w:p w14:paraId="02EA85F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22</w:t>
            </w:r>
          </w:p>
        </w:tc>
        <w:tc>
          <w:tcPr>
            <w:tcW w:w="1104" w:type="dxa"/>
            <w:vMerge w:val="restart"/>
            <w:shd w:val="clear" w:color="auto" w:fill="auto"/>
            <w:vAlign w:val="center"/>
          </w:tcPr>
          <w:p w14:paraId="6252964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手术标本检查与诊断（4-5个蜡块）</w:t>
            </w:r>
          </w:p>
        </w:tc>
        <w:tc>
          <w:tcPr>
            <w:tcW w:w="1040" w:type="dxa"/>
            <w:vMerge w:val="restart"/>
            <w:shd w:val="clear" w:color="auto" w:fill="auto"/>
            <w:vAlign w:val="center"/>
          </w:tcPr>
          <w:p w14:paraId="3FBB047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18A432A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用10%中性缓冲福尔马林固定至少6-24小时。</w:t>
            </w:r>
          </w:p>
        </w:tc>
        <w:tc>
          <w:tcPr>
            <w:tcW w:w="930" w:type="dxa"/>
            <w:vMerge w:val="restart"/>
            <w:shd w:val="clear" w:color="auto" w:fill="auto"/>
            <w:vAlign w:val="center"/>
          </w:tcPr>
          <w:p w14:paraId="4726228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vMerge w:val="restart"/>
            <w:shd w:val="clear" w:color="auto" w:fill="auto"/>
            <w:vAlign w:val="center"/>
          </w:tcPr>
          <w:p w14:paraId="6100EFD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对临床病变组织、器官的鉴定和分型</w:t>
            </w:r>
          </w:p>
        </w:tc>
        <w:tc>
          <w:tcPr>
            <w:tcW w:w="1227" w:type="dxa"/>
            <w:shd w:val="clear" w:color="auto" w:fill="auto"/>
            <w:vAlign w:val="center"/>
          </w:tcPr>
          <w:p w14:paraId="032D8C1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270300005</w:t>
            </w:r>
          </w:p>
        </w:tc>
        <w:tc>
          <w:tcPr>
            <w:tcW w:w="919" w:type="dxa"/>
            <w:vMerge w:val="restart"/>
            <w:shd w:val="clear" w:color="auto" w:fill="auto"/>
            <w:vAlign w:val="center"/>
          </w:tcPr>
          <w:p w14:paraId="3A460C6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w:t>
            </w:r>
          </w:p>
        </w:tc>
      </w:tr>
      <w:tr w14:paraId="3247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7E76DAFB">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635C048D">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6E1EC5E7">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5383749D">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4A0D40FE">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04610AD5">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7AC3463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105737B3">
            <w:pPr>
              <w:spacing w:line="240" w:lineRule="auto"/>
              <w:ind w:firstLine="0" w:firstLineChars="0"/>
              <w:jc w:val="center"/>
              <w:rPr>
                <w:rFonts w:hint="eastAsia" w:ascii="仿宋" w:hAnsi="仿宋" w:eastAsia="仿宋" w:cs="仿宋"/>
                <w:i w:val="0"/>
                <w:iCs w:val="0"/>
                <w:color w:val="auto"/>
                <w:sz w:val="20"/>
                <w:szCs w:val="20"/>
                <w:u w:val="none"/>
              </w:rPr>
            </w:pPr>
          </w:p>
        </w:tc>
      </w:tr>
      <w:tr w14:paraId="2F96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70" w:type="dxa"/>
            <w:vMerge w:val="continue"/>
            <w:shd w:val="clear" w:color="auto" w:fill="auto"/>
            <w:vAlign w:val="center"/>
          </w:tcPr>
          <w:p w14:paraId="3C97ABC3">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08609029">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0A4336D3">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413B2966">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2E90AAB4">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388A963E">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4B5EAEB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270300005-a*2</w:t>
            </w:r>
          </w:p>
        </w:tc>
        <w:tc>
          <w:tcPr>
            <w:tcW w:w="919" w:type="dxa"/>
            <w:vMerge w:val="continue"/>
            <w:shd w:val="clear" w:color="auto" w:fill="auto"/>
            <w:vAlign w:val="center"/>
          </w:tcPr>
          <w:p w14:paraId="37E75D58">
            <w:pPr>
              <w:spacing w:line="240" w:lineRule="auto"/>
              <w:ind w:firstLine="0" w:firstLineChars="0"/>
              <w:jc w:val="center"/>
              <w:rPr>
                <w:rFonts w:hint="eastAsia" w:ascii="仿宋" w:hAnsi="仿宋" w:eastAsia="仿宋" w:cs="仿宋"/>
                <w:i w:val="0"/>
                <w:iCs w:val="0"/>
                <w:color w:val="auto"/>
                <w:sz w:val="20"/>
                <w:szCs w:val="20"/>
                <w:u w:val="none"/>
              </w:rPr>
            </w:pPr>
          </w:p>
        </w:tc>
      </w:tr>
      <w:tr w14:paraId="6A97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4F46C809">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388B6C61">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29E90FBE">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0965C93E">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0F54DAB6">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2902A418">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67B7F9D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2703-b*4</w:t>
            </w:r>
          </w:p>
        </w:tc>
        <w:tc>
          <w:tcPr>
            <w:tcW w:w="919" w:type="dxa"/>
            <w:vMerge w:val="continue"/>
            <w:shd w:val="clear" w:color="auto" w:fill="auto"/>
            <w:vAlign w:val="center"/>
          </w:tcPr>
          <w:p w14:paraId="279BCC35">
            <w:pPr>
              <w:spacing w:line="240" w:lineRule="auto"/>
              <w:ind w:firstLine="0" w:firstLineChars="0"/>
              <w:jc w:val="center"/>
              <w:rPr>
                <w:rFonts w:hint="eastAsia" w:ascii="仿宋" w:hAnsi="仿宋" w:eastAsia="仿宋" w:cs="仿宋"/>
                <w:i w:val="0"/>
                <w:iCs w:val="0"/>
                <w:color w:val="auto"/>
                <w:sz w:val="20"/>
                <w:szCs w:val="20"/>
                <w:u w:val="none"/>
              </w:rPr>
            </w:pPr>
          </w:p>
        </w:tc>
      </w:tr>
      <w:tr w14:paraId="1C94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restart"/>
            <w:shd w:val="clear" w:color="auto" w:fill="auto"/>
            <w:vAlign w:val="center"/>
          </w:tcPr>
          <w:p w14:paraId="263C8E2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23</w:t>
            </w:r>
          </w:p>
        </w:tc>
        <w:tc>
          <w:tcPr>
            <w:tcW w:w="1104" w:type="dxa"/>
            <w:vMerge w:val="restart"/>
            <w:shd w:val="clear" w:color="auto" w:fill="auto"/>
            <w:vAlign w:val="center"/>
          </w:tcPr>
          <w:p w14:paraId="1983562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手术标本检查与诊断（6-9个蜡块）</w:t>
            </w:r>
          </w:p>
        </w:tc>
        <w:tc>
          <w:tcPr>
            <w:tcW w:w="1040" w:type="dxa"/>
            <w:vMerge w:val="restart"/>
            <w:shd w:val="clear" w:color="auto" w:fill="auto"/>
            <w:vAlign w:val="center"/>
          </w:tcPr>
          <w:p w14:paraId="42C82EE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7F4B186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用10%中性缓冲福尔马林固定至少6-24小时。</w:t>
            </w:r>
          </w:p>
        </w:tc>
        <w:tc>
          <w:tcPr>
            <w:tcW w:w="930" w:type="dxa"/>
            <w:vMerge w:val="restart"/>
            <w:shd w:val="clear" w:color="auto" w:fill="auto"/>
            <w:vAlign w:val="center"/>
          </w:tcPr>
          <w:p w14:paraId="676FB56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vMerge w:val="restart"/>
            <w:shd w:val="clear" w:color="auto" w:fill="auto"/>
            <w:vAlign w:val="center"/>
          </w:tcPr>
          <w:p w14:paraId="5633A41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对临床病变组织、器官的鉴定和分型</w:t>
            </w:r>
          </w:p>
        </w:tc>
        <w:tc>
          <w:tcPr>
            <w:tcW w:w="1227" w:type="dxa"/>
            <w:shd w:val="clear" w:color="auto" w:fill="auto"/>
            <w:vAlign w:val="center"/>
          </w:tcPr>
          <w:p w14:paraId="33E6ABA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270300005</w:t>
            </w:r>
          </w:p>
        </w:tc>
        <w:tc>
          <w:tcPr>
            <w:tcW w:w="919" w:type="dxa"/>
            <w:vMerge w:val="restart"/>
            <w:shd w:val="clear" w:color="auto" w:fill="auto"/>
            <w:vAlign w:val="center"/>
          </w:tcPr>
          <w:p w14:paraId="3DA92C9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320</w:t>
            </w:r>
          </w:p>
        </w:tc>
      </w:tr>
      <w:tr w14:paraId="1C88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30623821">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20D8D43D">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50CD12F8">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2B8A5B43">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03BCFFFB">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0725C2CA">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22DD30C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79C05AD6">
            <w:pPr>
              <w:spacing w:line="240" w:lineRule="auto"/>
              <w:ind w:firstLine="0" w:firstLineChars="0"/>
              <w:jc w:val="center"/>
              <w:rPr>
                <w:rFonts w:hint="eastAsia" w:ascii="仿宋" w:hAnsi="仿宋" w:eastAsia="仿宋" w:cs="仿宋"/>
                <w:i w:val="0"/>
                <w:iCs w:val="0"/>
                <w:color w:val="auto"/>
                <w:sz w:val="20"/>
                <w:szCs w:val="20"/>
                <w:u w:val="none"/>
              </w:rPr>
            </w:pPr>
          </w:p>
        </w:tc>
      </w:tr>
      <w:tr w14:paraId="4E6A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0" w:type="dxa"/>
            <w:vMerge w:val="continue"/>
            <w:shd w:val="clear" w:color="auto" w:fill="auto"/>
            <w:vAlign w:val="center"/>
          </w:tcPr>
          <w:p w14:paraId="40051038">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73896FC7">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217ED593">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3D7A9509">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40564590">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26F4AF1E">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1C382B1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270300005-a*4</w:t>
            </w:r>
          </w:p>
        </w:tc>
        <w:tc>
          <w:tcPr>
            <w:tcW w:w="919" w:type="dxa"/>
            <w:vMerge w:val="continue"/>
            <w:shd w:val="clear" w:color="auto" w:fill="auto"/>
            <w:vAlign w:val="center"/>
          </w:tcPr>
          <w:p w14:paraId="7F1F8C67">
            <w:pPr>
              <w:spacing w:line="240" w:lineRule="auto"/>
              <w:ind w:firstLine="0" w:firstLineChars="0"/>
              <w:jc w:val="center"/>
              <w:rPr>
                <w:rFonts w:hint="eastAsia" w:ascii="仿宋" w:hAnsi="仿宋" w:eastAsia="仿宋" w:cs="仿宋"/>
                <w:i w:val="0"/>
                <w:iCs w:val="0"/>
                <w:color w:val="auto"/>
                <w:sz w:val="20"/>
                <w:szCs w:val="20"/>
                <w:u w:val="none"/>
              </w:rPr>
            </w:pPr>
          </w:p>
        </w:tc>
      </w:tr>
      <w:tr w14:paraId="70B8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4E26F868">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4EF45DDC">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073F2C94">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15C95EE3">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61BDE892">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403163D3">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383C375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2703-b*6</w:t>
            </w:r>
          </w:p>
        </w:tc>
        <w:tc>
          <w:tcPr>
            <w:tcW w:w="919" w:type="dxa"/>
            <w:vMerge w:val="continue"/>
            <w:shd w:val="clear" w:color="auto" w:fill="auto"/>
            <w:vAlign w:val="center"/>
          </w:tcPr>
          <w:p w14:paraId="023498B5">
            <w:pPr>
              <w:spacing w:line="240" w:lineRule="auto"/>
              <w:ind w:firstLine="0" w:firstLineChars="0"/>
              <w:jc w:val="center"/>
              <w:rPr>
                <w:rFonts w:hint="eastAsia" w:ascii="仿宋" w:hAnsi="仿宋" w:eastAsia="仿宋" w:cs="仿宋"/>
                <w:i w:val="0"/>
                <w:iCs w:val="0"/>
                <w:color w:val="auto"/>
                <w:sz w:val="20"/>
                <w:szCs w:val="20"/>
                <w:u w:val="none"/>
              </w:rPr>
            </w:pPr>
          </w:p>
        </w:tc>
      </w:tr>
      <w:tr w14:paraId="2C42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restart"/>
            <w:shd w:val="clear" w:color="auto" w:fill="auto"/>
            <w:vAlign w:val="center"/>
          </w:tcPr>
          <w:p w14:paraId="725D7CA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24</w:t>
            </w:r>
          </w:p>
        </w:tc>
        <w:tc>
          <w:tcPr>
            <w:tcW w:w="1104" w:type="dxa"/>
            <w:vMerge w:val="restart"/>
            <w:shd w:val="clear" w:color="auto" w:fill="auto"/>
            <w:vAlign w:val="center"/>
          </w:tcPr>
          <w:p w14:paraId="07833A7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手术标本检查与诊断（肿瘤≥20个蜡块）</w:t>
            </w:r>
          </w:p>
        </w:tc>
        <w:tc>
          <w:tcPr>
            <w:tcW w:w="1040" w:type="dxa"/>
            <w:vMerge w:val="restart"/>
            <w:shd w:val="clear" w:color="auto" w:fill="auto"/>
            <w:vAlign w:val="center"/>
          </w:tcPr>
          <w:p w14:paraId="6839EF5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73E5EB9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用10%中性缓冲福尔马林固定至少6-24小时。</w:t>
            </w:r>
          </w:p>
        </w:tc>
        <w:tc>
          <w:tcPr>
            <w:tcW w:w="930" w:type="dxa"/>
            <w:vMerge w:val="restart"/>
            <w:shd w:val="clear" w:color="auto" w:fill="auto"/>
            <w:vAlign w:val="center"/>
          </w:tcPr>
          <w:p w14:paraId="100D01C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vMerge w:val="restart"/>
            <w:shd w:val="clear" w:color="auto" w:fill="auto"/>
            <w:vAlign w:val="center"/>
          </w:tcPr>
          <w:p w14:paraId="268D503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对临床病变组织、器官的鉴定和分型</w:t>
            </w:r>
          </w:p>
        </w:tc>
        <w:tc>
          <w:tcPr>
            <w:tcW w:w="1227" w:type="dxa"/>
            <w:shd w:val="clear" w:color="auto" w:fill="auto"/>
            <w:vAlign w:val="center"/>
          </w:tcPr>
          <w:p w14:paraId="62C17AA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270300005</w:t>
            </w:r>
          </w:p>
        </w:tc>
        <w:tc>
          <w:tcPr>
            <w:tcW w:w="919" w:type="dxa"/>
            <w:vMerge w:val="restart"/>
            <w:shd w:val="clear" w:color="auto" w:fill="auto"/>
            <w:vAlign w:val="center"/>
          </w:tcPr>
          <w:p w14:paraId="74C98EB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760</w:t>
            </w:r>
          </w:p>
        </w:tc>
      </w:tr>
      <w:tr w14:paraId="51CB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5743CF4A">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27342190">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57E2F6B6">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18074733">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3918437A">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00E8E304">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045A931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44C0AA9E">
            <w:pPr>
              <w:spacing w:line="240" w:lineRule="auto"/>
              <w:ind w:firstLine="0" w:firstLineChars="0"/>
              <w:jc w:val="center"/>
              <w:rPr>
                <w:rFonts w:hint="eastAsia" w:ascii="仿宋" w:hAnsi="仿宋" w:eastAsia="仿宋" w:cs="仿宋"/>
                <w:i w:val="0"/>
                <w:iCs w:val="0"/>
                <w:color w:val="auto"/>
                <w:sz w:val="20"/>
                <w:szCs w:val="20"/>
                <w:u w:val="none"/>
              </w:rPr>
            </w:pPr>
          </w:p>
        </w:tc>
      </w:tr>
      <w:tr w14:paraId="4AAD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trPr>
        <w:tc>
          <w:tcPr>
            <w:tcW w:w="670" w:type="dxa"/>
            <w:vMerge w:val="continue"/>
            <w:shd w:val="clear" w:color="auto" w:fill="auto"/>
            <w:vAlign w:val="center"/>
          </w:tcPr>
          <w:p w14:paraId="48E9CCBF">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0FA39140">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58FEE67B">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674DCA2D">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7EB66E60">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52A53689">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5BEA94B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2703-b*20 270300005-b*18</w:t>
            </w:r>
          </w:p>
        </w:tc>
        <w:tc>
          <w:tcPr>
            <w:tcW w:w="919" w:type="dxa"/>
            <w:vMerge w:val="continue"/>
            <w:shd w:val="clear" w:color="auto" w:fill="auto"/>
            <w:vAlign w:val="center"/>
          </w:tcPr>
          <w:p w14:paraId="1BB9E237">
            <w:pPr>
              <w:spacing w:line="240" w:lineRule="auto"/>
              <w:ind w:firstLine="0" w:firstLineChars="0"/>
              <w:jc w:val="center"/>
              <w:rPr>
                <w:rFonts w:hint="eastAsia" w:ascii="仿宋" w:hAnsi="仿宋" w:eastAsia="仿宋" w:cs="仿宋"/>
                <w:i w:val="0"/>
                <w:iCs w:val="0"/>
                <w:color w:val="auto"/>
                <w:sz w:val="20"/>
                <w:szCs w:val="20"/>
                <w:u w:val="none"/>
              </w:rPr>
            </w:pPr>
          </w:p>
        </w:tc>
      </w:tr>
      <w:tr w14:paraId="522E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restart"/>
            <w:shd w:val="clear" w:color="auto" w:fill="auto"/>
            <w:vAlign w:val="center"/>
          </w:tcPr>
          <w:p w14:paraId="7232957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25</w:t>
            </w:r>
          </w:p>
        </w:tc>
        <w:tc>
          <w:tcPr>
            <w:tcW w:w="1104" w:type="dxa"/>
            <w:vMerge w:val="restart"/>
            <w:shd w:val="clear" w:color="auto" w:fill="auto"/>
            <w:vAlign w:val="center"/>
          </w:tcPr>
          <w:p w14:paraId="7F6D232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手术标本检查与诊断（肿瘤10-14个蜡块）</w:t>
            </w:r>
          </w:p>
        </w:tc>
        <w:tc>
          <w:tcPr>
            <w:tcW w:w="1040" w:type="dxa"/>
            <w:vMerge w:val="restart"/>
            <w:shd w:val="clear" w:color="auto" w:fill="auto"/>
            <w:vAlign w:val="center"/>
          </w:tcPr>
          <w:p w14:paraId="3400504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5693846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用10%中性缓冲福尔马林固定至少6-24小时。</w:t>
            </w:r>
          </w:p>
        </w:tc>
        <w:tc>
          <w:tcPr>
            <w:tcW w:w="930" w:type="dxa"/>
            <w:vMerge w:val="restart"/>
            <w:shd w:val="clear" w:color="auto" w:fill="auto"/>
            <w:vAlign w:val="center"/>
          </w:tcPr>
          <w:p w14:paraId="0B583A0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vMerge w:val="restart"/>
            <w:shd w:val="clear" w:color="auto" w:fill="auto"/>
            <w:vAlign w:val="center"/>
          </w:tcPr>
          <w:p w14:paraId="4FCB36F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对临床病变组织、器官的鉴定和分型</w:t>
            </w:r>
          </w:p>
        </w:tc>
        <w:tc>
          <w:tcPr>
            <w:tcW w:w="1227" w:type="dxa"/>
            <w:shd w:val="clear" w:color="auto" w:fill="auto"/>
            <w:vAlign w:val="center"/>
          </w:tcPr>
          <w:p w14:paraId="6397ED1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270300005</w:t>
            </w:r>
          </w:p>
        </w:tc>
        <w:tc>
          <w:tcPr>
            <w:tcW w:w="919" w:type="dxa"/>
            <w:vMerge w:val="restart"/>
            <w:shd w:val="clear" w:color="auto" w:fill="auto"/>
            <w:vAlign w:val="center"/>
          </w:tcPr>
          <w:p w14:paraId="6E70EE7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460</w:t>
            </w:r>
          </w:p>
        </w:tc>
      </w:tr>
      <w:tr w14:paraId="150E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066A9D9D">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4F25E448">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2E251EA5">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76201685">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69045B15">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2A4FDD52">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66DE184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1A0CC047">
            <w:pPr>
              <w:spacing w:line="240" w:lineRule="auto"/>
              <w:ind w:firstLine="0" w:firstLineChars="0"/>
              <w:jc w:val="center"/>
              <w:rPr>
                <w:rFonts w:hint="eastAsia" w:ascii="仿宋" w:hAnsi="仿宋" w:eastAsia="仿宋" w:cs="仿宋"/>
                <w:i w:val="0"/>
                <w:iCs w:val="0"/>
                <w:color w:val="auto"/>
                <w:sz w:val="20"/>
                <w:szCs w:val="20"/>
                <w:u w:val="none"/>
              </w:rPr>
            </w:pPr>
          </w:p>
        </w:tc>
      </w:tr>
      <w:tr w14:paraId="39DF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70" w:type="dxa"/>
            <w:vMerge w:val="continue"/>
            <w:shd w:val="clear" w:color="auto" w:fill="auto"/>
            <w:vAlign w:val="center"/>
          </w:tcPr>
          <w:p w14:paraId="7AF4B05E">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4D10AB64">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76762D74">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2D6C84A2">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0EA1B781">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5F91688E">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6A858F7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2703-b*10 270300005-b*8</w:t>
            </w:r>
          </w:p>
        </w:tc>
        <w:tc>
          <w:tcPr>
            <w:tcW w:w="919" w:type="dxa"/>
            <w:vMerge w:val="continue"/>
            <w:shd w:val="clear" w:color="auto" w:fill="auto"/>
            <w:vAlign w:val="center"/>
          </w:tcPr>
          <w:p w14:paraId="37C04B29">
            <w:pPr>
              <w:spacing w:line="240" w:lineRule="auto"/>
              <w:ind w:firstLine="0" w:firstLineChars="0"/>
              <w:jc w:val="center"/>
              <w:rPr>
                <w:rFonts w:hint="eastAsia" w:ascii="仿宋" w:hAnsi="仿宋" w:eastAsia="仿宋" w:cs="仿宋"/>
                <w:i w:val="0"/>
                <w:iCs w:val="0"/>
                <w:color w:val="auto"/>
                <w:sz w:val="20"/>
                <w:szCs w:val="20"/>
                <w:u w:val="none"/>
              </w:rPr>
            </w:pPr>
          </w:p>
        </w:tc>
      </w:tr>
      <w:tr w14:paraId="6695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restart"/>
            <w:shd w:val="clear" w:color="auto" w:fill="auto"/>
            <w:vAlign w:val="center"/>
          </w:tcPr>
          <w:p w14:paraId="34E5D85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26</w:t>
            </w:r>
          </w:p>
        </w:tc>
        <w:tc>
          <w:tcPr>
            <w:tcW w:w="1104" w:type="dxa"/>
            <w:vMerge w:val="restart"/>
            <w:shd w:val="clear" w:color="auto" w:fill="auto"/>
            <w:vAlign w:val="center"/>
          </w:tcPr>
          <w:p w14:paraId="34845BE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手术标本检查与诊断（肿瘤15-19个蜡块）</w:t>
            </w:r>
          </w:p>
        </w:tc>
        <w:tc>
          <w:tcPr>
            <w:tcW w:w="1040" w:type="dxa"/>
            <w:vMerge w:val="restart"/>
            <w:shd w:val="clear" w:color="auto" w:fill="auto"/>
            <w:vAlign w:val="center"/>
          </w:tcPr>
          <w:p w14:paraId="239CFAF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10D0C94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用10%中性缓冲福尔马林固定至少6-24小时。</w:t>
            </w:r>
          </w:p>
        </w:tc>
        <w:tc>
          <w:tcPr>
            <w:tcW w:w="930" w:type="dxa"/>
            <w:vMerge w:val="restart"/>
            <w:shd w:val="clear" w:color="auto" w:fill="auto"/>
            <w:vAlign w:val="center"/>
          </w:tcPr>
          <w:p w14:paraId="129B737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vMerge w:val="restart"/>
            <w:shd w:val="clear" w:color="auto" w:fill="auto"/>
            <w:vAlign w:val="center"/>
          </w:tcPr>
          <w:p w14:paraId="28C2D15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对临床病变组织、器官的鉴定和分型</w:t>
            </w:r>
          </w:p>
        </w:tc>
        <w:tc>
          <w:tcPr>
            <w:tcW w:w="1227" w:type="dxa"/>
            <w:shd w:val="clear" w:color="auto" w:fill="auto"/>
            <w:vAlign w:val="center"/>
          </w:tcPr>
          <w:p w14:paraId="5909D59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270300005</w:t>
            </w:r>
          </w:p>
        </w:tc>
        <w:tc>
          <w:tcPr>
            <w:tcW w:w="919" w:type="dxa"/>
            <w:vMerge w:val="restart"/>
            <w:shd w:val="clear" w:color="auto" w:fill="auto"/>
            <w:vAlign w:val="center"/>
          </w:tcPr>
          <w:p w14:paraId="3E2A8C0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610</w:t>
            </w:r>
          </w:p>
        </w:tc>
      </w:tr>
      <w:tr w14:paraId="0893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1830F1FB">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28CB485D">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209F81B0">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5C4CDBF2">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161409EC">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3E6639C7">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100EEA8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79707AB2">
            <w:pPr>
              <w:spacing w:line="240" w:lineRule="auto"/>
              <w:ind w:firstLine="0" w:firstLineChars="0"/>
              <w:jc w:val="center"/>
              <w:rPr>
                <w:rFonts w:hint="eastAsia" w:ascii="仿宋" w:hAnsi="仿宋" w:eastAsia="仿宋" w:cs="仿宋"/>
                <w:i w:val="0"/>
                <w:iCs w:val="0"/>
                <w:color w:val="auto"/>
                <w:sz w:val="20"/>
                <w:szCs w:val="20"/>
                <w:u w:val="none"/>
              </w:rPr>
            </w:pPr>
          </w:p>
        </w:tc>
      </w:tr>
      <w:tr w14:paraId="6F1C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70" w:type="dxa"/>
            <w:vMerge w:val="continue"/>
            <w:shd w:val="clear" w:color="auto" w:fill="auto"/>
            <w:vAlign w:val="center"/>
          </w:tcPr>
          <w:p w14:paraId="5ABC2039">
            <w:pPr>
              <w:spacing w:line="240" w:lineRule="auto"/>
              <w:ind w:firstLine="0" w:firstLineChars="0"/>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6CBD7278">
            <w:pPr>
              <w:spacing w:line="240" w:lineRule="auto"/>
              <w:ind w:firstLine="0" w:firstLineChars="0"/>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62E3C018">
            <w:pPr>
              <w:spacing w:line="240" w:lineRule="auto"/>
              <w:ind w:firstLine="0" w:firstLineChars="0"/>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709CE263">
            <w:pPr>
              <w:spacing w:line="240" w:lineRule="auto"/>
              <w:ind w:firstLine="0" w:firstLineChars="0"/>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06CD415C">
            <w:pPr>
              <w:spacing w:line="240" w:lineRule="auto"/>
              <w:ind w:firstLine="0" w:firstLineChars="0"/>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4353AF84">
            <w:pPr>
              <w:spacing w:line="240" w:lineRule="auto"/>
              <w:ind w:firstLine="0" w:firstLineChars="0"/>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1A01116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2703-b*15 270300005-b*13</w:t>
            </w:r>
          </w:p>
        </w:tc>
        <w:tc>
          <w:tcPr>
            <w:tcW w:w="919" w:type="dxa"/>
            <w:vMerge w:val="continue"/>
            <w:shd w:val="clear" w:color="auto" w:fill="auto"/>
            <w:vAlign w:val="center"/>
          </w:tcPr>
          <w:p w14:paraId="34463B61">
            <w:pPr>
              <w:spacing w:line="240" w:lineRule="auto"/>
              <w:ind w:firstLine="0" w:firstLineChars="0"/>
              <w:jc w:val="center"/>
              <w:rPr>
                <w:rFonts w:hint="eastAsia" w:ascii="仿宋" w:hAnsi="仿宋" w:eastAsia="仿宋" w:cs="仿宋"/>
                <w:i w:val="0"/>
                <w:iCs w:val="0"/>
                <w:color w:val="auto"/>
                <w:sz w:val="20"/>
                <w:szCs w:val="20"/>
                <w:u w:val="none"/>
              </w:rPr>
            </w:pPr>
          </w:p>
        </w:tc>
      </w:tr>
      <w:tr w14:paraId="6A3E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5" w:hRule="atLeast"/>
        </w:trPr>
        <w:tc>
          <w:tcPr>
            <w:tcW w:w="670" w:type="dxa"/>
            <w:shd w:val="clear" w:color="auto" w:fill="auto"/>
            <w:vAlign w:val="center"/>
          </w:tcPr>
          <w:p w14:paraId="3E42E1F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w:t>
            </w:r>
          </w:p>
        </w:tc>
        <w:tc>
          <w:tcPr>
            <w:tcW w:w="1104" w:type="dxa"/>
            <w:shd w:val="clear" w:color="auto" w:fill="auto"/>
            <w:vAlign w:val="center"/>
          </w:tcPr>
          <w:p w14:paraId="1E410AE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体液细胞学检查与诊断-穿刺液</w:t>
            </w:r>
          </w:p>
        </w:tc>
        <w:tc>
          <w:tcPr>
            <w:tcW w:w="1040" w:type="dxa"/>
            <w:shd w:val="clear" w:color="auto" w:fill="auto"/>
            <w:vAlign w:val="center"/>
          </w:tcPr>
          <w:p w14:paraId="03830D4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 xml:space="preserve">巴氏染色 / </w:t>
            </w:r>
            <w:r>
              <w:rPr>
                <w:rStyle w:val="19"/>
                <w:rFonts w:hint="eastAsia" w:ascii="仿宋" w:hAnsi="仿宋" w:eastAsia="仿宋" w:cs="仿宋"/>
                <w:bCs/>
                <w:color w:val="auto"/>
                <w:lang w:val="en-US" w:eastAsia="zh-CN" w:bidi="ar"/>
              </w:rPr>
              <w:t xml:space="preserve"> 显微镜检查</w:t>
            </w:r>
          </w:p>
        </w:tc>
        <w:tc>
          <w:tcPr>
            <w:tcW w:w="1564" w:type="dxa"/>
            <w:shd w:val="clear" w:color="auto" w:fill="auto"/>
            <w:vAlign w:val="center"/>
          </w:tcPr>
          <w:p w14:paraId="222F4C8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包括胸水、腹水、心包液、脑脊液、精液、各种囊肿穿刺液、唾液、龈沟液的细胞学检查与诊断</w:t>
            </w:r>
          </w:p>
        </w:tc>
        <w:tc>
          <w:tcPr>
            <w:tcW w:w="930" w:type="dxa"/>
            <w:shd w:val="clear" w:color="auto" w:fill="auto"/>
            <w:vAlign w:val="center"/>
          </w:tcPr>
          <w:p w14:paraId="74D1D2D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3个工作日</w:t>
            </w:r>
          </w:p>
        </w:tc>
        <w:tc>
          <w:tcPr>
            <w:tcW w:w="1253" w:type="dxa"/>
            <w:shd w:val="clear" w:color="auto" w:fill="auto"/>
            <w:vAlign w:val="center"/>
          </w:tcPr>
          <w:p w14:paraId="51F3ADC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脱落细胞中查找肿瘤细胞。</w:t>
            </w:r>
          </w:p>
        </w:tc>
        <w:tc>
          <w:tcPr>
            <w:tcW w:w="1227" w:type="dxa"/>
            <w:shd w:val="clear" w:color="auto" w:fill="auto"/>
            <w:vAlign w:val="center"/>
          </w:tcPr>
          <w:p w14:paraId="1822CA3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270200001</w:t>
            </w:r>
          </w:p>
        </w:tc>
        <w:tc>
          <w:tcPr>
            <w:tcW w:w="919" w:type="dxa"/>
            <w:shd w:val="clear" w:color="auto" w:fill="auto"/>
            <w:vAlign w:val="center"/>
          </w:tcPr>
          <w:p w14:paraId="22813BD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113</w:t>
            </w:r>
          </w:p>
        </w:tc>
      </w:tr>
      <w:tr w14:paraId="7C03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670" w:type="dxa"/>
            <w:shd w:val="clear" w:color="auto" w:fill="auto"/>
            <w:vAlign w:val="center"/>
          </w:tcPr>
          <w:p w14:paraId="0464C8B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28</w:t>
            </w:r>
          </w:p>
        </w:tc>
        <w:tc>
          <w:tcPr>
            <w:tcW w:w="1104" w:type="dxa"/>
            <w:shd w:val="clear" w:color="auto" w:fill="auto"/>
            <w:vAlign w:val="center"/>
          </w:tcPr>
          <w:p w14:paraId="2175C19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脱落细胞学检查与诊断-非妇科</w:t>
            </w:r>
          </w:p>
        </w:tc>
        <w:tc>
          <w:tcPr>
            <w:tcW w:w="1040" w:type="dxa"/>
            <w:shd w:val="clear" w:color="auto" w:fill="auto"/>
            <w:vAlign w:val="center"/>
          </w:tcPr>
          <w:p w14:paraId="1D97870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 xml:space="preserve">巴氏染色 / </w:t>
            </w:r>
            <w:r>
              <w:rPr>
                <w:rStyle w:val="19"/>
                <w:rFonts w:hint="eastAsia" w:ascii="仿宋" w:hAnsi="仿宋" w:eastAsia="仿宋" w:cs="仿宋"/>
                <w:bCs/>
                <w:color w:val="auto"/>
                <w:lang w:val="en-US" w:eastAsia="zh-CN" w:bidi="ar"/>
              </w:rPr>
              <w:t xml:space="preserve">  显微镜检查</w:t>
            </w:r>
          </w:p>
        </w:tc>
        <w:tc>
          <w:tcPr>
            <w:tcW w:w="1564" w:type="dxa"/>
            <w:shd w:val="clear" w:color="auto" w:fill="auto"/>
            <w:vAlign w:val="center"/>
          </w:tcPr>
          <w:p w14:paraId="67979DE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包括痰、乳腺溢液、窥镜刷片及其他脱落细胞学的各种涂片检查及诊断加口腔粘液涂片</w:t>
            </w:r>
          </w:p>
        </w:tc>
        <w:tc>
          <w:tcPr>
            <w:tcW w:w="930" w:type="dxa"/>
            <w:shd w:val="clear" w:color="auto" w:fill="auto"/>
            <w:vAlign w:val="center"/>
          </w:tcPr>
          <w:p w14:paraId="6BC022B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3个工作日</w:t>
            </w:r>
          </w:p>
        </w:tc>
        <w:tc>
          <w:tcPr>
            <w:tcW w:w="1253" w:type="dxa"/>
            <w:shd w:val="clear" w:color="auto" w:fill="auto"/>
            <w:vAlign w:val="center"/>
          </w:tcPr>
          <w:p w14:paraId="7AB1368C">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痰、乳腺溢液、窥镜刷片及其它脱落细胞学的各种涂片检查及口腔粘液涂片等脱落细胞中查找瘤细胞</w:t>
            </w:r>
          </w:p>
        </w:tc>
        <w:tc>
          <w:tcPr>
            <w:tcW w:w="1227" w:type="dxa"/>
            <w:shd w:val="clear" w:color="auto" w:fill="auto"/>
            <w:vAlign w:val="center"/>
          </w:tcPr>
          <w:p w14:paraId="267E431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270200004</w:t>
            </w:r>
          </w:p>
        </w:tc>
        <w:tc>
          <w:tcPr>
            <w:tcW w:w="919" w:type="dxa"/>
            <w:shd w:val="clear" w:color="auto" w:fill="auto"/>
            <w:vAlign w:val="center"/>
          </w:tcPr>
          <w:p w14:paraId="57FADF14">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105</w:t>
            </w:r>
          </w:p>
        </w:tc>
      </w:tr>
      <w:tr w14:paraId="77D1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70" w:type="dxa"/>
            <w:shd w:val="clear" w:color="auto" w:fill="auto"/>
            <w:vAlign w:val="center"/>
          </w:tcPr>
          <w:p w14:paraId="0E8B3E1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29</w:t>
            </w:r>
          </w:p>
        </w:tc>
        <w:tc>
          <w:tcPr>
            <w:tcW w:w="1104" w:type="dxa"/>
            <w:shd w:val="clear" w:color="auto" w:fill="auto"/>
            <w:vAlign w:val="center"/>
          </w:tcPr>
          <w:p w14:paraId="17980D2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细胞学疑难病理会诊</w:t>
            </w:r>
          </w:p>
        </w:tc>
        <w:tc>
          <w:tcPr>
            <w:tcW w:w="1040" w:type="dxa"/>
            <w:shd w:val="clear" w:color="auto" w:fill="auto"/>
            <w:vAlign w:val="center"/>
          </w:tcPr>
          <w:p w14:paraId="1743A44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巴氏染色+图文报告</w:t>
            </w:r>
          </w:p>
        </w:tc>
        <w:tc>
          <w:tcPr>
            <w:tcW w:w="1564" w:type="dxa"/>
            <w:shd w:val="clear" w:color="auto" w:fill="auto"/>
            <w:vAlign w:val="center"/>
          </w:tcPr>
          <w:p w14:paraId="5681A33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巴氏染色片/细胞学涂片</w:t>
            </w:r>
          </w:p>
        </w:tc>
        <w:tc>
          <w:tcPr>
            <w:tcW w:w="930" w:type="dxa"/>
            <w:shd w:val="clear" w:color="auto" w:fill="auto"/>
            <w:vAlign w:val="center"/>
          </w:tcPr>
          <w:p w14:paraId="4277B50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3个工作日</w:t>
            </w:r>
          </w:p>
        </w:tc>
        <w:tc>
          <w:tcPr>
            <w:tcW w:w="1253" w:type="dxa"/>
            <w:shd w:val="clear" w:color="auto" w:fill="auto"/>
            <w:vAlign w:val="center"/>
          </w:tcPr>
          <w:p w14:paraId="7BDD97B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病理会诊</w:t>
            </w:r>
          </w:p>
        </w:tc>
        <w:tc>
          <w:tcPr>
            <w:tcW w:w="1227" w:type="dxa"/>
            <w:shd w:val="clear" w:color="auto" w:fill="auto"/>
            <w:vAlign w:val="center"/>
          </w:tcPr>
          <w:p w14:paraId="4C68955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270800005</w:t>
            </w:r>
          </w:p>
        </w:tc>
        <w:tc>
          <w:tcPr>
            <w:tcW w:w="919" w:type="dxa"/>
            <w:shd w:val="clear" w:color="auto" w:fill="auto"/>
            <w:vAlign w:val="center"/>
          </w:tcPr>
          <w:p w14:paraId="0C620B07">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185</w:t>
            </w:r>
          </w:p>
        </w:tc>
      </w:tr>
      <w:tr w14:paraId="62D7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670" w:type="dxa"/>
            <w:shd w:val="clear" w:color="auto" w:fill="auto"/>
            <w:vAlign w:val="center"/>
          </w:tcPr>
          <w:p w14:paraId="31EDF34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30</w:t>
            </w:r>
          </w:p>
        </w:tc>
        <w:tc>
          <w:tcPr>
            <w:tcW w:w="1104" w:type="dxa"/>
            <w:shd w:val="clear" w:color="auto" w:fill="auto"/>
            <w:vAlign w:val="center"/>
          </w:tcPr>
          <w:p w14:paraId="23EC3128">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液基细胞学检测</w:t>
            </w:r>
          </w:p>
        </w:tc>
        <w:tc>
          <w:tcPr>
            <w:tcW w:w="1040" w:type="dxa"/>
            <w:shd w:val="clear" w:color="auto" w:fill="auto"/>
            <w:vAlign w:val="center"/>
          </w:tcPr>
          <w:p w14:paraId="7CED20F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巴氏染色 /电脑自动制片 / 显微镜检查</w:t>
            </w:r>
          </w:p>
        </w:tc>
        <w:tc>
          <w:tcPr>
            <w:tcW w:w="1564" w:type="dxa"/>
            <w:shd w:val="clear" w:color="auto" w:fill="auto"/>
            <w:vAlign w:val="center"/>
          </w:tcPr>
          <w:p w14:paraId="3A8BFDE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用专用采样器采取宫颈上皮细胞</w:t>
            </w:r>
          </w:p>
        </w:tc>
        <w:tc>
          <w:tcPr>
            <w:tcW w:w="930" w:type="dxa"/>
            <w:shd w:val="clear" w:color="auto" w:fill="auto"/>
            <w:vAlign w:val="center"/>
          </w:tcPr>
          <w:p w14:paraId="22E4D8B1">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3个工作日</w:t>
            </w:r>
          </w:p>
        </w:tc>
        <w:tc>
          <w:tcPr>
            <w:tcW w:w="1253" w:type="dxa"/>
            <w:shd w:val="clear" w:color="auto" w:fill="auto"/>
            <w:vAlign w:val="center"/>
          </w:tcPr>
          <w:p w14:paraId="076A1E5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早期发现宫颈病变，早期诊断宫颈癌。</w:t>
            </w:r>
          </w:p>
        </w:tc>
        <w:tc>
          <w:tcPr>
            <w:tcW w:w="1227" w:type="dxa"/>
            <w:shd w:val="clear" w:color="auto" w:fill="auto"/>
            <w:vAlign w:val="center"/>
          </w:tcPr>
          <w:p w14:paraId="62B0A2E0">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270800007-a</w:t>
            </w:r>
          </w:p>
        </w:tc>
        <w:tc>
          <w:tcPr>
            <w:tcW w:w="919" w:type="dxa"/>
            <w:shd w:val="clear" w:color="auto" w:fill="auto"/>
            <w:vAlign w:val="center"/>
          </w:tcPr>
          <w:p w14:paraId="73FD0E2A">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155</w:t>
            </w:r>
          </w:p>
        </w:tc>
      </w:tr>
      <w:tr w14:paraId="4AEC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0" w:type="dxa"/>
            <w:shd w:val="clear" w:color="auto" w:fill="auto"/>
            <w:vAlign w:val="center"/>
          </w:tcPr>
          <w:p w14:paraId="557EE25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31</w:t>
            </w:r>
          </w:p>
        </w:tc>
        <w:tc>
          <w:tcPr>
            <w:tcW w:w="1104" w:type="dxa"/>
            <w:shd w:val="clear" w:color="auto" w:fill="auto"/>
            <w:vAlign w:val="center"/>
          </w:tcPr>
          <w:p w14:paraId="12DF5D9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疑难病理会诊</w:t>
            </w:r>
          </w:p>
        </w:tc>
        <w:tc>
          <w:tcPr>
            <w:tcW w:w="1040" w:type="dxa"/>
            <w:shd w:val="clear" w:color="auto" w:fill="auto"/>
            <w:vAlign w:val="center"/>
          </w:tcPr>
          <w:p w14:paraId="5CDFE6F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shd w:val="clear" w:color="auto" w:fill="auto"/>
            <w:vAlign w:val="center"/>
          </w:tcPr>
          <w:p w14:paraId="796F140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病理玻片或蜡块</w:t>
            </w:r>
          </w:p>
        </w:tc>
        <w:tc>
          <w:tcPr>
            <w:tcW w:w="930" w:type="dxa"/>
            <w:shd w:val="clear" w:color="auto" w:fill="auto"/>
            <w:vAlign w:val="center"/>
          </w:tcPr>
          <w:p w14:paraId="2C47781E">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3-5个工作日</w:t>
            </w:r>
          </w:p>
        </w:tc>
        <w:tc>
          <w:tcPr>
            <w:tcW w:w="1253" w:type="dxa"/>
            <w:shd w:val="clear" w:color="auto" w:fill="auto"/>
            <w:vAlign w:val="center"/>
          </w:tcPr>
          <w:p w14:paraId="1047C69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病理会诊、确诊</w:t>
            </w:r>
          </w:p>
        </w:tc>
        <w:tc>
          <w:tcPr>
            <w:tcW w:w="1227" w:type="dxa"/>
            <w:shd w:val="clear" w:color="auto" w:fill="auto"/>
            <w:vAlign w:val="center"/>
          </w:tcPr>
          <w:p w14:paraId="34608EB6">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270800005</w:t>
            </w:r>
          </w:p>
        </w:tc>
        <w:tc>
          <w:tcPr>
            <w:tcW w:w="919" w:type="dxa"/>
            <w:shd w:val="clear" w:color="auto" w:fill="auto"/>
            <w:vAlign w:val="center"/>
          </w:tcPr>
          <w:p w14:paraId="1FFBA86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185</w:t>
            </w:r>
          </w:p>
        </w:tc>
      </w:tr>
      <w:tr w14:paraId="4000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restart"/>
            <w:shd w:val="clear" w:color="auto" w:fill="auto"/>
            <w:vAlign w:val="center"/>
          </w:tcPr>
          <w:p w14:paraId="029904D3">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32</w:t>
            </w:r>
          </w:p>
        </w:tc>
        <w:tc>
          <w:tcPr>
            <w:tcW w:w="1104" w:type="dxa"/>
            <w:vMerge w:val="restart"/>
            <w:shd w:val="clear" w:color="auto" w:fill="auto"/>
            <w:vAlign w:val="center"/>
          </w:tcPr>
          <w:p w14:paraId="3B359269">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远程疑难病理会诊</w:t>
            </w:r>
          </w:p>
        </w:tc>
        <w:tc>
          <w:tcPr>
            <w:tcW w:w="1040" w:type="dxa"/>
            <w:vMerge w:val="restart"/>
            <w:shd w:val="clear" w:color="auto" w:fill="auto"/>
            <w:vAlign w:val="center"/>
          </w:tcPr>
          <w:p w14:paraId="3D4C2DB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HE 染色</w:t>
            </w:r>
          </w:p>
        </w:tc>
        <w:tc>
          <w:tcPr>
            <w:tcW w:w="1564" w:type="dxa"/>
            <w:vMerge w:val="restart"/>
            <w:shd w:val="clear" w:color="auto" w:fill="auto"/>
            <w:vAlign w:val="center"/>
          </w:tcPr>
          <w:p w14:paraId="3A0FED02">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病理切片、病理涂片</w:t>
            </w:r>
          </w:p>
        </w:tc>
        <w:tc>
          <w:tcPr>
            <w:tcW w:w="930" w:type="dxa"/>
            <w:vMerge w:val="restart"/>
            <w:shd w:val="clear" w:color="auto" w:fill="auto"/>
            <w:vAlign w:val="center"/>
          </w:tcPr>
          <w:p w14:paraId="29A8E285">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1小时</w:t>
            </w:r>
          </w:p>
        </w:tc>
        <w:tc>
          <w:tcPr>
            <w:tcW w:w="1253" w:type="dxa"/>
            <w:vMerge w:val="restart"/>
            <w:shd w:val="clear" w:color="auto" w:fill="auto"/>
            <w:vAlign w:val="center"/>
          </w:tcPr>
          <w:p w14:paraId="47D4411B">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病理会诊</w:t>
            </w:r>
          </w:p>
        </w:tc>
        <w:tc>
          <w:tcPr>
            <w:tcW w:w="1227" w:type="dxa"/>
            <w:shd w:val="clear" w:color="auto" w:fill="auto"/>
            <w:vAlign w:val="center"/>
          </w:tcPr>
          <w:p w14:paraId="491FBC2D">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111101004</w:t>
            </w:r>
          </w:p>
        </w:tc>
        <w:tc>
          <w:tcPr>
            <w:tcW w:w="919" w:type="dxa"/>
            <w:vMerge w:val="restart"/>
            <w:shd w:val="clear" w:color="auto" w:fill="auto"/>
            <w:vAlign w:val="center"/>
          </w:tcPr>
          <w:p w14:paraId="3FB880FF">
            <w:pPr>
              <w:keepNext w:val="0"/>
              <w:keepLines w:val="0"/>
              <w:widowControl/>
              <w:suppressLineNumbers w:val="0"/>
              <w:spacing w:line="240" w:lineRule="auto"/>
              <w:ind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470/次</w:t>
            </w:r>
          </w:p>
        </w:tc>
      </w:tr>
      <w:tr w14:paraId="3129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4D557078">
            <w:pPr>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3ED5FAD9">
            <w:pPr>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2411071F">
            <w:pPr>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180095DF">
            <w:pPr>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1E306BFE">
            <w:pPr>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15A27F3C">
            <w:pPr>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6D644C04">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111101005</w:t>
            </w:r>
          </w:p>
        </w:tc>
        <w:tc>
          <w:tcPr>
            <w:tcW w:w="919" w:type="dxa"/>
            <w:vMerge w:val="continue"/>
            <w:shd w:val="clear" w:color="auto" w:fill="auto"/>
            <w:vAlign w:val="center"/>
          </w:tcPr>
          <w:p w14:paraId="00AD6597">
            <w:pPr>
              <w:jc w:val="center"/>
              <w:rPr>
                <w:rFonts w:hint="eastAsia" w:ascii="仿宋" w:hAnsi="仿宋" w:eastAsia="仿宋" w:cs="仿宋"/>
                <w:i w:val="0"/>
                <w:iCs w:val="0"/>
                <w:color w:val="auto"/>
                <w:sz w:val="20"/>
                <w:szCs w:val="20"/>
                <w:u w:val="none"/>
              </w:rPr>
            </w:pPr>
          </w:p>
        </w:tc>
      </w:tr>
      <w:tr w14:paraId="6B4D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70" w:type="dxa"/>
            <w:vMerge w:val="continue"/>
            <w:shd w:val="clear" w:color="auto" w:fill="auto"/>
            <w:vAlign w:val="center"/>
          </w:tcPr>
          <w:p w14:paraId="0E05DDC2">
            <w:pPr>
              <w:jc w:val="center"/>
              <w:rPr>
                <w:rFonts w:hint="eastAsia" w:ascii="仿宋" w:hAnsi="仿宋" w:eastAsia="仿宋" w:cs="仿宋"/>
                <w:i w:val="0"/>
                <w:iCs w:val="0"/>
                <w:color w:val="auto"/>
                <w:sz w:val="20"/>
                <w:szCs w:val="20"/>
                <w:u w:val="none"/>
              </w:rPr>
            </w:pPr>
          </w:p>
        </w:tc>
        <w:tc>
          <w:tcPr>
            <w:tcW w:w="1104" w:type="dxa"/>
            <w:vMerge w:val="continue"/>
            <w:shd w:val="clear" w:color="auto" w:fill="auto"/>
            <w:vAlign w:val="center"/>
          </w:tcPr>
          <w:p w14:paraId="79FFF493">
            <w:pPr>
              <w:jc w:val="center"/>
              <w:rPr>
                <w:rFonts w:hint="eastAsia" w:ascii="仿宋" w:hAnsi="仿宋" w:eastAsia="仿宋" w:cs="仿宋"/>
                <w:i w:val="0"/>
                <w:iCs w:val="0"/>
                <w:color w:val="auto"/>
                <w:sz w:val="20"/>
                <w:szCs w:val="20"/>
                <w:u w:val="none"/>
              </w:rPr>
            </w:pPr>
          </w:p>
        </w:tc>
        <w:tc>
          <w:tcPr>
            <w:tcW w:w="1040" w:type="dxa"/>
            <w:vMerge w:val="continue"/>
            <w:shd w:val="clear" w:color="auto" w:fill="auto"/>
            <w:vAlign w:val="center"/>
          </w:tcPr>
          <w:p w14:paraId="0A738985">
            <w:pPr>
              <w:jc w:val="center"/>
              <w:rPr>
                <w:rFonts w:hint="eastAsia" w:ascii="仿宋" w:hAnsi="仿宋" w:eastAsia="仿宋" w:cs="仿宋"/>
                <w:i w:val="0"/>
                <w:iCs w:val="0"/>
                <w:color w:val="auto"/>
                <w:sz w:val="20"/>
                <w:szCs w:val="20"/>
                <w:u w:val="none"/>
              </w:rPr>
            </w:pPr>
          </w:p>
        </w:tc>
        <w:tc>
          <w:tcPr>
            <w:tcW w:w="1564" w:type="dxa"/>
            <w:vMerge w:val="continue"/>
            <w:shd w:val="clear" w:color="auto" w:fill="auto"/>
            <w:vAlign w:val="center"/>
          </w:tcPr>
          <w:p w14:paraId="0D26C472">
            <w:pPr>
              <w:jc w:val="center"/>
              <w:rPr>
                <w:rFonts w:hint="eastAsia" w:ascii="仿宋" w:hAnsi="仿宋" w:eastAsia="仿宋" w:cs="仿宋"/>
                <w:i w:val="0"/>
                <w:iCs w:val="0"/>
                <w:color w:val="auto"/>
                <w:sz w:val="20"/>
                <w:szCs w:val="20"/>
                <w:u w:val="none"/>
              </w:rPr>
            </w:pPr>
          </w:p>
        </w:tc>
        <w:tc>
          <w:tcPr>
            <w:tcW w:w="930" w:type="dxa"/>
            <w:vMerge w:val="continue"/>
            <w:shd w:val="clear" w:color="auto" w:fill="auto"/>
            <w:vAlign w:val="center"/>
          </w:tcPr>
          <w:p w14:paraId="3D2E2271">
            <w:pPr>
              <w:jc w:val="center"/>
              <w:rPr>
                <w:rFonts w:hint="eastAsia" w:ascii="仿宋" w:hAnsi="仿宋" w:eastAsia="仿宋" w:cs="仿宋"/>
                <w:i w:val="0"/>
                <w:iCs w:val="0"/>
                <w:color w:val="auto"/>
                <w:sz w:val="20"/>
                <w:szCs w:val="20"/>
                <w:u w:val="none"/>
              </w:rPr>
            </w:pPr>
          </w:p>
        </w:tc>
        <w:tc>
          <w:tcPr>
            <w:tcW w:w="1253" w:type="dxa"/>
            <w:vMerge w:val="continue"/>
            <w:shd w:val="clear" w:color="auto" w:fill="auto"/>
            <w:vAlign w:val="center"/>
          </w:tcPr>
          <w:p w14:paraId="748371C5">
            <w:pPr>
              <w:jc w:val="center"/>
              <w:rPr>
                <w:rFonts w:hint="eastAsia" w:ascii="仿宋" w:hAnsi="仿宋" w:eastAsia="仿宋" w:cs="仿宋"/>
                <w:i w:val="0"/>
                <w:iCs w:val="0"/>
                <w:color w:val="auto"/>
                <w:sz w:val="20"/>
                <w:szCs w:val="20"/>
                <w:u w:val="none"/>
              </w:rPr>
            </w:pPr>
          </w:p>
        </w:tc>
        <w:tc>
          <w:tcPr>
            <w:tcW w:w="1227" w:type="dxa"/>
            <w:shd w:val="clear" w:color="auto" w:fill="auto"/>
            <w:vAlign w:val="center"/>
          </w:tcPr>
          <w:p w14:paraId="7DF017AC">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bCs/>
                <w:i w:val="0"/>
                <w:iCs w:val="0"/>
                <w:color w:val="auto"/>
                <w:kern w:val="0"/>
                <w:sz w:val="20"/>
                <w:szCs w:val="20"/>
                <w:u w:val="none"/>
                <w:lang w:val="en-US" w:eastAsia="zh-CN" w:bidi="ar"/>
              </w:rPr>
              <w:t>270800004</w:t>
            </w:r>
          </w:p>
        </w:tc>
        <w:tc>
          <w:tcPr>
            <w:tcW w:w="919" w:type="dxa"/>
            <w:vMerge w:val="continue"/>
            <w:shd w:val="clear" w:color="auto" w:fill="auto"/>
            <w:vAlign w:val="center"/>
          </w:tcPr>
          <w:p w14:paraId="761FA596">
            <w:pPr>
              <w:jc w:val="center"/>
              <w:rPr>
                <w:rFonts w:hint="eastAsia" w:ascii="仿宋" w:hAnsi="仿宋" w:eastAsia="仿宋" w:cs="仿宋"/>
                <w:i w:val="0"/>
                <w:iCs w:val="0"/>
                <w:color w:val="auto"/>
                <w:sz w:val="20"/>
                <w:szCs w:val="20"/>
                <w:u w:val="none"/>
              </w:rPr>
            </w:pPr>
          </w:p>
        </w:tc>
      </w:tr>
    </w:tbl>
    <w:p w14:paraId="1C0E655C">
      <w:pPr>
        <w:rPr>
          <w:rFonts w:hint="default"/>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dobe 仿宋 Std R">
    <w:altName w:val="仿宋"/>
    <w:panose1 w:val="00000000000000000000"/>
    <w:charset w:val="86"/>
    <w:family w:val="swiss"/>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1AA0E">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27</w:t>
    </w:r>
    <w:r>
      <w:fldChar w:fldCharType="end"/>
    </w:r>
  </w:p>
  <w:p w14:paraId="355D2F9C">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83032">
    <w:pPr>
      <w:spacing w:line="226" w:lineRule="auto"/>
      <w:ind w:left="35"/>
      <w:rPr>
        <w:rFonts w:ascii="宋体" w:hAnsi="宋体" w:cs="宋体"/>
        <w:sz w:val="18"/>
        <w:szCs w:val="18"/>
      </w:rPr>
    </w:pPr>
    <w:r>
      <mc:AlternateContent>
        <mc:Choice Requires="wps">
          <w:drawing>
            <wp:anchor distT="0" distB="0" distL="114300" distR="114300" simplePos="0" relativeHeight="251659264" behindDoc="0" locked="0" layoutInCell="0" allowOverlap="1">
              <wp:simplePos x="0" y="0"/>
              <wp:positionH relativeFrom="page">
                <wp:posOffset>842010</wp:posOffset>
              </wp:positionH>
              <wp:positionV relativeFrom="page">
                <wp:posOffset>722630</wp:posOffset>
              </wp:positionV>
              <wp:extent cx="5896610" cy="9525"/>
              <wp:effectExtent l="0" t="0" r="0" b="0"/>
              <wp:wrapNone/>
              <wp:docPr id="1" name="自选图形 1"/>
              <wp:cNvGraphicFramePr/>
              <a:graphic xmlns:a="http://schemas.openxmlformats.org/drawingml/2006/main">
                <a:graphicData uri="http://schemas.microsoft.com/office/word/2010/wordprocessingShape">
                  <wps:wsp>
                    <wps:cNvSpPr/>
                    <wps:spPr>
                      <a:xfrm>
                        <a:off x="0" y="0"/>
                        <a:ext cx="5896610" cy="9525"/>
                      </a:xfrm>
                      <a:custGeom>
                        <a:avLst/>
                        <a:gdLst>
                          <a:gd name="A1" fmla="val 0"/>
                          <a:gd name="A2" fmla="val 0"/>
                          <a:gd name="A3" fmla="val 0"/>
                        </a:gdLst>
                        <a:ahLst/>
                        <a:cxnLst/>
                        <a:pathLst>
                          <a:path w="9285" h="15">
                            <a:moveTo>
                              <a:pt x="0" y="14"/>
                            </a:moveTo>
                            <a:lnTo>
                              <a:pt x="9285" y="14"/>
                            </a:lnTo>
                            <a:lnTo>
                              <a:pt x="9285" y="0"/>
                            </a:lnTo>
                            <a:lnTo>
                              <a:pt x="0" y="0"/>
                            </a:lnTo>
                            <a:lnTo>
                              <a:pt x="0" y="14"/>
                            </a:lnTo>
                            <a:close/>
                          </a:path>
                        </a:pathLst>
                      </a:custGeom>
                      <a:solidFill>
                        <a:srgbClr val="FFFFFF"/>
                      </a:solidFill>
                      <a:ln>
                        <a:noFill/>
                      </a:ln>
                    </wps:spPr>
                    <wps:bodyPr upright="1"/>
                  </wps:wsp>
                </a:graphicData>
              </a:graphic>
            </wp:anchor>
          </w:drawing>
        </mc:Choice>
        <mc:Fallback>
          <w:pict>
            <v:shape id="自选图形 1" o:spid="_x0000_s1026" o:spt="100" style="position:absolute;left:0pt;margin-left:66.3pt;margin-top:56.9pt;height:0.75pt;width:464.3pt;mso-position-horizontal-relative:page;mso-position-vertical-relative:page;z-index:251659264;mso-width-relative:page;mso-height-relative:page;" fillcolor="#FFFFFF" filled="t" stroked="f" coordsize="9285,15" o:allowincell="f" o:gfxdata="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m50Cb2AAAAAwBAAAPAAAAAAAAAAEAIAAAACIAAABkcnMvZG93bnJldi54bWxQSwEC&#10;FAAUAAAACACHTuJAq3laGy0CAADcBAAADgAAAAAAAAABACAAAAAnAQAAZHJzL2Uyb0RvYy54bWxQ&#10;SwUGAAAAAAYABgBZAQAAxgUAAAAA&#10;" path="m0,14l9285,14,9285,0,0,0,0,14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DF14E5"/>
    <w:multiLevelType w:val="singleLevel"/>
    <w:tmpl w:val="68DF14E5"/>
    <w:lvl w:ilvl="0" w:tentative="0">
      <w:start w:val="1"/>
      <w:numFmt w:val="bullet"/>
      <w:pStyle w:val="6"/>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78329E"/>
    <w:rsid w:val="02A37B76"/>
    <w:rsid w:val="1F741668"/>
    <w:rsid w:val="321C1E43"/>
    <w:rsid w:val="33EB4B2F"/>
    <w:rsid w:val="4078329E"/>
    <w:rsid w:val="425B2C3D"/>
    <w:rsid w:val="4706202C"/>
    <w:rsid w:val="58F74665"/>
    <w:rsid w:val="78707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Body Text"/>
    <w:basedOn w:val="1"/>
    <w:qFormat/>
    <w:uiPriority w:val="0"/>
    <w:pPr>
      <w:tabs>
        <w:tab w:val="left" w:pos="2020"/>
        <w:tab w:val="center" w:pos="4535"/>
      </w:tabs>
      <w:spacing w:line="500" w:lineRule="exact"/>
      <w:outlineLvl w:val="0"/>
    </w:pPr>
  </w:style>
  <w:style w:type="paragraph" w:styleId="4">
    <w:name w:val="Body Text Indent"/>
    <w:basedOn w:val="1"/>
    <w:next w:val="5"/>
    <w:qFormat/>
    <w:uiPriority w:val="0"/>
    <w:pPr>
      <w:ind w:firstLine="630"/>
    </w:pPr>
    <w:rPr>
      <w:rFonts w:ascii="楷体_GB2312" w:eastAsia="楷体_GB2312"/>
      <w:sz w:val="32"/>
      <w:szCs w:val="20"/>
    </w:rPr>
  </w:style>
  <w:style w:type="paragraph" w:styleId="5">
    <w:name w:val="envelope return"/>
    <w:basedOn w:val="1"/>
    <w:qFormat/>
    <w:uiPriority w:val="0"/>
    <w:pPr>
      <w:snapToGrid w:val="0"/>
    </w:pPr>
    <w:rPr>
      <w:rFonts w:ascii="Arial" w:hAnsi="Arial"/>
    </w:rPr>
  </w:style>
  <w:style w:type="paragraph" w:styleId="6">
    <w:name w:val="List Bullet 2"/>
    <w:basedOn w:val="1"/>
    <w:qFormat/>
    <w:uiPriority w:val="0"/>
    <w:pPr>
      <w:numPr>
        <w:ilvl w:val="0"/>
        <w:numId w:val="1"/>
      </w:numPr>
    </w:pPr>
  </w:style>
  <w:style w:type="paragraph" w:styleId="7">
    <w:name w:val="Plain Text"/>
    <w:basedOn w:val="1"/>
    <w:next w:val="2"/>
    <w:qFormat/>
    <w:uiPriority w:val="0"/>
    <w:rPr>
      <w:rFonts w:hint="eastAsia" w:ascii="宋体" w:hAnsi="Courier New" w:cs="宋体"/>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Body Text First Indent"/>
    <w:basedOn w:val="3"/>
    <w:next w:val="11"/>
    <w:qFormat/>
    <w:uiPriority w:val="0"/>
    <w:pPr>
      <w:ind w:firstLine="420"/>
    </w:pPr>
  </w:style>
  <w:style w:type="paragraph" w:styleId="11">
    <w:name w:val="Body Text First Indent 2"/>
    <w:basedOn w:val="4"/>
    <w:next w:val="1"/>
    <w:qFormat/>
    <w:uiPriority w:val="0"/>
    <w:pPr>
      <w:widowControl/>
      <w:ind w:left="420" w:leftChars="200" w:firstLine="420" w:firstLineChars="200"/>
    </w:pPr>
    <w:rPr>
      <w:rFonts w:ascii="仿宋_GB2312" w:eastAsia="仿宋_GB2312"/>
      <w:color w:val="FF6600"/>
      <w:sz w:val="21"/>
    </w:rPr>
  </w:style>
  <w:style w:type="character" w:styleId="14">
    <w:name w:val="page number"/>
    <w:qFormat/>
    <w:uiPriority w:val="0"/>
  </w:style>
  <w:style w:type="paragraph" w:customStyle="1" w:styleId="15">
    <w:name w:val="列出段落1"/>
    <w:basedOn w:val="1"/>
    <w:qFormat/>
    <w:uiPriority w:val="34"/>
    <w:pPr>
      <w:ind w:firstLine="420" w:firstLineChars="200"/>
    </w:pPr>
    <w:rPr>
      <w:szCs w:val="22"/>
    </w:rPr>
  </w:style>
  <w:style w:type="paragraph" w:customStyle="1" w:styleId="16">
    <w:name w:val="正文1"/>
    <w:next w:val="1"/>
    <w:autoRedefine/>
    <w:qFormat/>
    <w:uiPriority w:val="0"/>
    <w:pPr>
      <w:adjustRightInd w:val="0"/>
      <w:spacing w:line="180" w:lineRule="auto"/>
      <w:ind w:firstLine="200" w:firstLineChars="200"/>
      <w:contextualSpacing/>
    </w:pPr>
    <w:rPr>
      <w:rFonts w:ascii="Calibri" w:hAnsi="Calibri" w:eastAsia="Adobe 仿宋 Std R" w:cs="Times New Roman"/>
      <w:kern w:val="2"/>
      <w:sz w:val="21"/>
      <w:szCs w:val="21"/>
      <w:lang w:val="en-US" w:eastAsia="zh-CN" w:bidi="ar-SA"/>
    </w:rPr>
  </w:style>
  <w:style w:type="character" w:customStyle="1" w:styleId="17">
    <w:name w:val="font41"/>
    <w:basedOn w:val="13"/>
    <w:qFormat/>
    <w:uiPriority w:val="0"/>
    <w:rPr>
      <w:rFonts w:hint="default" w:ascii="Times New Roman" w:hAnsi="Times New Roman" w:cs="Times New Roman"/>
      <w:color w:val="FF0000"/>
      <w:sz w:val="20"/>
      <w:szCs w:val="20"/>
      <w:u w:val="none"/>
    </w:rPr>
  </w:style>
  <w:style w:type="character" w:customStyle="1" w:styleId="18">
    <w:name w:val="font31"/>
    <w:basedOn w:val="13"/>
    <w:qFormat/>
    <w:uiPriority w:val="0"/>
    <w:rPr>
      <w:rFonts w:hint="eastAsia" w:ascii="宋体" w:hAnsi="宋体" w:eastAsia="宋体" w:cs="宋体"/>
      <w:color w:val="FF0000"/>
      <w:sz w:val="20"/>
      <w:szCs w:val="20"/>
      <w:u w:val="none"/>
    </w:rPr>
  </w:style>
  <w:style w:type="character" w:customStyle="1" w:styleId="19">
    <w:name w:val="font2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6565</Words>
  <Characters>8083</Characters>
  <Lines>0</Lines>
  <Paragraphs>0</Paragraphs>
  <TotalTime>2</TotalTime>
  <ScaleCrop>false</ScaleCrop>
  <LinksUpToDate>false</LinksUpToDate>
  <CharactersWithSpaces>8109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2025-03-04T07:02:00Z</dcterms:created>
  <dc:creator>乐小萌良食铺总店</dc:creator>
  <cp:lastModifiedBy>yyj</cp:lastModifiedBy>
  <dcterms:modified xsi:type="dcterms:W3CDTF">2026-07-22T00:16:52Z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C2FA0EFBD1B34BC1BCE4FAFDCBDCA6BD_13</vt:lpwstr>
  </property>
  <property fmtid="{D5CDD505-2E9C-101B-9397-08002B2CF9AE}" pid="4" name="KSOTemplateDocerSaveRecord">
    <vt:lpwstr>eyJoZGlkIjoiN2EwNDkxMTE4ODk1M2MwYjVkZDRkMGMyNTE2NmIzMzkiLCJ1c2VySWQiOiIzOTM3MjQ5NTIifQ==</vt:lpwstr>
  </property>
</Properties>
</file>